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E5F25">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Times New Roman" w:hAnsi="Times New Roman" w:eastAsia="CESI黑体-GB2312" w:cs="CESI黑体-GB2312"/>
          <w:sz w:val="32"/>
          <w:szCs w:val="32"/>
          <w:lang w:val="en-US" w:eastAsia="zh-CN"/>
        </w:rPr>
      </w:pPr>
      <w:r>
        <w:rPr>
          <w:rFonts w:hint="eastAsia" w:ascii="Times New Roman" w:hAnsi="Times New Roman" w:eastAsia="CESI黑体-GB2312" w:cs="CESI黑体-GB2312"/>
          <w:sz w:val="32"/>
          <w:szCs w:val="32"/>
          <w:lang w:val="en-US" w:eastAsia="zh-CN"/>
        </w:rPr>
        <w:t>附件</w:t>
      </w:r>
    </w:p>
    <w:p w14:paraId="712B726D">
      <w:pPr>
        <w:keepNext w:val="0"/>
        <w:keepLines w:val="0"/>
        <w:pageBreakBefore w:val="0"/>
        <w:widowControl w:val="0"/>
        <w:numPr>
          <w:ilvl w:val="0"/>
          <w:numId w:val="0"/>
        </w:numPr>
        <w:suppressAutoHyphens/>
        <w:kinsoku/>
        <w:wordWrap/>
        <w:overflowPunct/>
        <w:topLinePunct w:val="0"/>
        <w:autoSpaceDE/>
        <w:autoSpaceDN/>
        <w:bidi w:val="0"/>
        <w:adjustRightInd/>
        <w:snapToGrid/>
        <w:spacing w:line="574" w:lineRule="exact"/>
        <w:jc w:val="center"/>
        <w:textAlignment w:val="auto"/>
        <w:rPr>
          <w:rFonts w:hint="eastAsia" w:ascii="Times New Roman" w:hAnsi="Times New Roman" w:eastAsia="方正小标宋简体" w:cs="方正小标宋简体"/>
          <w:b w:val="0"/>
          <w:bCs w:val="0"/>
          <w:color w:val="auto"/>
          <w:sz w:val="40"/>
          <w:szCs w:val="28"/>
          <w:u w:val="none"/>
          <w:lang w:val="en-US" w:eastAsia="zh-CN"/>
        </w:rPr>
      </w:pPr>
      <w:bookmarkStart w:id="0" w:name="_GoBack"/>
      <w:r>
        <w:rPr>
          <w:rFonts w:hint="eastAsia" w:ascii="Times New Roman" w:hAnsi="Times New Roman" w:eastAsia="方正小标宋简体" w:cs="方正小标宋简体"/>
          <w:b w:val="0"/>
          <w:bCs w:val="0"/>
          <w:color w:val="auto"/>
          <w:sz w:val="40"/>
          <w:szCs w:val="28"/>
          <w:u w:val="none"/>
          <w:lang w:val="en-US" w:eastAsia="zh-CN"/>
        </w:rPr>
        <w:t>2025年包头市工人先锋号候选集体名单</w:t>
      </w:r>
    </w:p>
    <w:bookmarkEnd w:id="0"/>
    <w:p w14:paraId="14EAB7E0">
      <w:pPr>
        <w:keepNext w:val="0"/>
        <w:keepLines w:val="0"/>
        <w:pageBreakBefore w:val="0"/>
        <w:widowControl w:val="0"/>
        <w:numPr>
          <w:ilvl w:val="0"/>
          <w:numId w:val="0"/>
        </w:numPr>
        <w:suppressAutoHyphens/>
        <w:kinsoku/>
        <w:wordWrap/>
        <w:overflowPunct/>
        <w:topLinePunct w:val="0"/>
        <w:autoSpaceDE/>
        <w:autoSpaceDN/>
        <w:bidi w:val="0"/>
        <w:adjustRightInd/>
        <w:snapToGrid/>
        <w:spacing w:line="574" w:lineRule="exact"/>
        <w:jc w:val="center"/>
        <w:textAlignment w:val="auto"/>
        <w:rPr>
          <w:rFonts w:hint="eastAsia" w:ascii="Times New Roman" w:hAnsi="Times New Roman" w:eastAsia="仿宋_GB2312" w:cs="仿宋_GB2312"/>
          <w:b/>
          <w:bCs/>
          <w:color w:val="auto"/>
          <w:sz w:val="32"/>
          <w:szCs w:val="22"/>
          <w:u w:val="none"/>
          <w:lang w:val="en-US" w:eastAsia="zh-CN"/>
        </w:rPr>
      </w:pPr>
    </w:p>
    <w:p w14:paraId="413D3590">
      <w:pPr>
        <w:keepNext w:val="0"/>
        <w:keepLines w:val="0"/>
        <w:pageBreakBefore w:val="0"/>
        <w:widowControl w:val="0"/>
        <w:numPr>
          <w:ilvl w:val="0"/>
          <w:numId w:val="0"/>
        </w:numPr>
        <w:suppressAutoHyphens/>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楷体_GB2312" w:cs="楷体_GB2312"/>
          <w:b/>
          <w:bCs/>
          <w:color w:val="auto"/>
          <w:sz w:val="32"/>
          <w:szCs w:val="22"/>
          <w:u w:val="none"/>
          <w:lang w:val="en-US" w:eastAsia="zh-CN"/>
        </w:rPr>
      </w:pPr>
      <w:r>
        <w:rPr>
          <w:rFonts w:hint="eastAsia" w:ascii="Times New Roman" w:hAnsi="Times New Roman" w:eastAsia="楷体_GB2312" w:cs="楷体_GB2312"/>
          <w:b/>
          <w:bCs/>
          <w:color w:val="auto"/>
          <w:sz w:val="32"/>
          <w:szCs w:val="22"/>
          <w:u w:val="none"/>
          <w:lang w:val="en-US" w:eastAsia="zh-CN"/>
        </w:rPr>
        <w:t>1.包头市住房发展建设集团有限公司包头走西口文旅有限责任公司老包头走西口历史文化街区项目部</w:t>
      </w:r>
    </w:p>
    <w:p w14:paraId="61A13325">
      <w:pPr>
        <w:keepNext w:val="0"/>
        <w:keepLines w:val="0"/>
        <w:pageBreakBefore w:val="0"/>
        <w:widowControl w:val="0"/>
        <w:numPr>
          <w:ilvl w:val="0"/>
          <w:numId w:val="0"/>
        </w:numPr>
        <w:suppressAutoHyphens/>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22"/>
          <w:u w:val="none"/>
          <w:lang w:val="en-US" w:eastAsia="zh-CN"/>
        </w:rPr>
      </w:pPr>
      <w:r>
        <w:rPr>
          <w:rFonts w:hint="eastAsia" w:ascii="Times New Roman" w:hAnsi="Times New Roman" w:eastAsia="仿宋_GB2312" w:cs="仿宋_GB2312"/>
          <w:color w:val="auto"/>
          <w:sz w:val="32"/>
          <w:szCs w:val="22"/>
          <w:u w:val="none"/>
          <w:lang w:val="en-US" w:eastAsia="zh-CN"/>
        </w:rPr>
        <w:t>老包头走西口历史文化街区项目部成立于2024年10月，当月项目部即接到老包头走西口历史文化街区修缮改造任务。2025年1月18日，历时三个多月，项目部即完成了老</w:t>
      </w:r>
      <w:r>
        <w:rPr>
          <w:rFonts w:hint="eastAsia" w:ascii="Times New Roman" w:hAnsi="Times New Roman" w:eastAsia="仿宋_GB2312" w:cs="仿宋_GB2312"/>
          <w:color w:val="auto"/>
          <w:sz w:val="32"/>
          <w:szCs w:val="22"/>
          <w:highlight w:val="none"/>
          <w:u w:val="none"/>
          <w:lang w:val="en-US" w:eastAsia="zh-CN"/>
        </w:rPr>
        <w:t>包头城楼原点广场、南广场、头道巷及4处民居院落的修缮任务，具备开街条件。</w:t>
      </w:r>
      <w:r>
        <w:rPr>
          <w:rFonts w:hint="eastAsia" w:ascii="Times New Roman" w:hAnsi="Times New Roman" w:eastAsia="仿宋_GB2312" w:cs="仿宋_GB2312"/>
          <w:color w:val="auto"/>
          <w:sz w:val="32"/>
          <w:szCs w:val="22"/>
          <w:u w:val="none"/>
          <w:lang w:val="en-US" w:eastAsia="zh-CN"/>
        </w:rPr>
        <w:t>项目竣工以来，街区共举办“相约原点，寻根包头”“情满三官庙”情景剧演出等系列文化活动88场，累计接待游客28.9万人次，带动消费1700万元。</w:t>
      </w:r>
    </w:p>
    <w:p w14:paraId="3E35007F">
      <w:pPr>
        <w:keepNext w:val="0"/>
        <w:keepLines w:val="0"/>
        <w:pageBreakBefore w:val="0"/>
        <w:widowControl w:val="0"/>
        <w:numPr>
          <w:ilvl w:val="0"/>
          <w:numId w:val="0"/>
        </w:numPr>
        <w:kinsoku/>
        <w:wordWrap/>
        <w:overflowPunct/>
        <w:topLinePunct w:val="0"/>
        <w:autoSpaceDE/>
        <w:autoSpaceDN/>
        <w:bidi w:val="0"/>
        <w:adjustRightInd/>
        <w:snapToGrid/>
        <w:spacing w:line="574" w:lineRule="exact"/>
        <w:jc w:val="both"/>
        <w:textAlignment w:val="auto"/>
        <w:rPr>
          <w:rFonts w:hint="eastAsia" w:ascii="Times New Roman" w:hAnsi="Times New Roman" w:eastAsia="CESI仿宋-GB2312" w:cs="CESI仿宋-GB2312"/>
          <w:sz w:val="32"/>
          <w:szCs w:val="32"/>
          <w:lang w:val="en-US" w:eastAsia="zh-CN"/>
        </w:rPr>
      </w:pPr>
    </w:p>
    <w:p w14:paraId="44406BE2">
      <w:pPr>
        <w:keepNext w:val="0"/>
        <w:keepLines w:val="0"/>
        <w:pageBreakBefore w:val="0"/>
        <w:widowControl w:val="0"/>
        <w:numPr>
          <w:ilvl w:val="0"/>
          <w:numId w:val="0"/>
        </w:numPr>
        <w:suppressAutoHyphens/>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楷体_GB2312" w:cs="楷体_GB2312"/>
          <w:b/>
          <w:bCs/>
          <w:color w:val="auto"/>
          <w:sz w:val="32"/>
          <w:szCs w:val="22"/>
          <w:u w:val="none"/>
          <w:lang w:val="en-US" w:eastAsia="zh-CN"/>
        </w:rPr>
      </w:pPr>
      <w:r>
        <w:rPr>
          <w:rFonts w:hint="eastAsia" w:ascii="Times New Roman" w:hAnsi="Times New Roman" w:eastAsia="楷体_GB2312" w:cs="楷体_GB2312"/>
          <w:b/>
          <w:bCs/>
          <w:color w:val="auto"/>
          <w:sz w:val="32"/>
          <w:szCs w:val="22"/>
          <w:u w:val="none"/>
          <w:lang w:val="en-US" w:eastAsia="zh-CN"/>
        </w:rPr>
        <w:t>2.</w:t>
      </w:r>
      <w:r>
        <w:rPr>
          <w:rFonts w:hint="default" w:ascii="Times New Roman" w:hAnsi="Times New Roman" w:eastAsia="楷体_GB2312" w:cs="楷体_GB2312"/>
          <w:b/>
          <w:bCs/>
          <w:color w:val="auto"/>
          <w:sz w:val="32"/>
          <w:szCs w:val="22"/>
          <w:u w:val="none"/>
          <w:lang w:val="en-US" w:eastAsia="zh-CN"/>
        </w:rPr>
        <w:t>包头市城市投资建设集团有限公司安全和工程管理部</w:t>
      </w:r>
    </w:p>
    <w:p w14:paraId="278150C2">
      <w:pPr>
        <w:keepNext w:val="0"/>
        <w:keepLines w:val="0"/>
        <w:pageBreakBefore w:val="0"/>
        <w:widowControl w:val="0"/>
        <w:numPr>
          <w:ilvl w:val="0"/>
          <w:numId w:val="0"/>
        </w:numPr>
        <w:suppressAutoHyphens/>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仿宋_GB2312"/>
          <w:color w:val="auto"/>
          <w:sz w:val="32"/>
          <w:szCs w:val="22"/>
          <w:u w:val="none"/>
          <w:lang w:val="en-US" w:eastAsia="zh-CN"/>
        </w:rPr>
      </w:pPr>
      <w:r>
        <w:rPr>
          <w:rFonts w:hint="eastAsia" w:ascii="Times New Roman" w:hAnsi="Times New Roman" w:eastAsia="仿宋_GB2312" w:cs="仿宋_GB2312"/>
          <w:color w:val="auto"/>
          <w:sz w:val="32"/>
          <w:szCs w:val="22"/>
          <w:u w:val="none"/>
          <w:lang w:val="en-US" w:eastAsia="zh-CN"/>
        </w:rPr>
        <w:t>该</w:t>
      </w:r>
      <w:r>
        <w:rPr>
          <w:rFonts w:hint="default" w:ascii="Times New Roman" w:hAnsi="Times New Roman" w:eastAsia="仿宋_GB2312" w:cs="仿宋_GB2312"/>
          <w:color w:val="auto"/>
          <w:sz w:val="32"/>
          <w:szCs w:val="22"/>
          <w:u w:val="none"/>
          <w:lang w:val="en-US" w:eastAsia="zh-CN"/>
        </w:rPr>
        <w:t>部</w:t>
      </w:r>
      <w:r>
        <w:rPr>
          <w:rFonts w:hint="eastAsia" w:ascii="Times New Roman" w:hAnsi="Times New Roman" w:eastAsia="仿宋_GB2312" w:cs="仿宋_GB2312"/>
          <w:color w:val="auto"/>
          <w:sz w:val="32"/>
          <w:szCs w:val="22"/>
          <w:u w:val="none"/>
          <w:lang w:val="en-US" w:eastAsia="zh-CN"/>
        </w:rPr>
        <w:t>成立于2023年1月，2023年10月接到昆区8个“夹心房”改造项目建设任务，建设内容包含钢35#面粉厂平房区、青22#社区平房区、团8平房区、民政平房区、团21社区五七干校平房区、林南社区包头市铁路职工活动中心平房区、少先28街坊耐火厂平房区、少先29街坊煤建院</w:t>
      </w:r>
      <w:r>
        <w:rPr>
          <w:rFonts w:hint="eastAsia" w:ascii="Times New Roman" w:hAnsi="Times New Roman" w:eastAsia="仿宋_GB2312" w:cs="仿宋_GB2312"/>
          <w:color w:val="auto"/>
          <w:sz w:val="32"/>
          <w:szCs w:val="22"/>
          <w:highlight w:val="none"/>
          <w:u w:val="none"/>
          <w:lang w:val="en-US" w:eastAsia="zh-CN"/>
        </w:rPr>
        <w:t>平房区等8处改造任务。为确保按时保质保量完成工作任务，该部派出8名骨干</w:t>
      </w:r>
      <w:r>
        <w:rPr>
          <w:rFonts w:hint="eastAsia" w:ascii="Times New Roman" w:hAnsi="Times New Roman" w:eastAsia="仿宋_GB2312" w:cs="仿宋_GB2312"/>
          <w:color w:val="auto"/>
          <w:sz w:val="32"/>
          <w:szCs w:val="22"/>
          <w:u w:val="none"/>
          <w:lang w:val="en-US" w:eastAsia="zh-CN"/>
        </w:rPr>
        <w:t>驻场监管，并建立“日常巡查+进度协调+定期培训”机制，严把施工安全和工程质量。2024年9月，昆区8个“夹心房”改造项目、20栋安置房单体全面交付，以国企担当履约兑付387户居民安居梦。</w:t>
      </w:r>
    </w:p>
    <w:p w14:paraId="68660146"/>
    <w:sectPr>
      <w:pgSz w:w="11906" w:h="16838"/>
      <w:pgMar w:top="1417" w:right="1417" w:bottom="1417"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ACEE4C-5388-4ADA-9A9D-69930F90BE5C}"/>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D2ECE992-CEC6-4418-B1F8-4D093550A943}"/>
  </w:font>
  <w:font w:name="仿宋_GB2312">
    <w:altName w:val="仿宋"/>
    <w:panose1 w:val="02010609030101010101"/>
    <w:charset w:val="86"/>
    <w:family w:val="auto"/>
    <w:pitch w:val="default"/>
    <w:sig w:usb0="00000000" w:usb1="00000000" w:usb2="00000000" w:usb3="00000000" w:csb0="00040000" w:csb1="00000000"/>
    <w:embedRegular r:id="rId3" w:fontKey="{E8D16BD5-6EDF-4237-B26F-D533EF294EAF}"/>
  </w:font>
  <w:font w:name="楷体_GB2312">
    <w:altName w:val="楷体"/>
    <w:panose1 w:val="02010609030101010101"/>
    <w:charset w:val="86"/>
    <w:family w:val="auto"/>
    <w:pitch w:val="default"/>
    <w:sig w:usb0="00000000" w:usb1="00000000" w:usb2="00000000" w:usb3="00000000" w:csb0="00040000" w:csb1="00000000"/>
    <w:embedRegular r:id="rId4" w:fontKey="{BC83843F-EB85-4CF2-B69A-DABBEEDC70FD}"/>
  </w:font>
  <w:font w:name="CESI仿宋-GB2312">
    <w:altName w:val="仿宋"/>
    <w:panose1 w:val="02000500000000000000"/>
    <w:charset w:val="86"/>
    <w:family w:val="auto"/>
    <w:pitch w:val="default"/>
    <w:sig w:usb0="00000000" w:usb1="00000000" w:usb2="00000010" w:usb3="00000000" w:csb0="0004000F" w:csb1="00000000"/>
    <w:embedRegular r:id="rId5" w:fontKey="{6DEBAFD0-5621-408B-A860-07B94E40C876}"/>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D3A3E"/>
    <w:rsid w:val="602D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2025-04-17T12:43:00Z</dcterms:created>
  <dc:creator>卓一</dc:creator>
  <cp:lastModifiedBy>卓一</cp:lastModifiedBy>
  <dcterms:modified xsi:type="dcterms:W3CDTF">2025-04-17T12:44:17Z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41C43033A5B848EBB2C1C7584F57350A_11</vt:lpwstr>
  </property>
  <property fmtid="{D5CDD505-2E9C-101B-9397-08002B2CF9AE}" pid="4" name="KSOTemplateDocerSaveRecord">
    <vt:lpwstr>eyJoZGlkIjoiZWNhOGE2YjNkZmU3MWYxMmUxNTBlZmNkZGE4OGU1NmYiLCJ1c2VySWQiOiIzNjU3MzE5NjEifQ==</vt:lpwstr>
  </property>
</Properties>
</file>