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spacing w:before="340" w:beforeAutospacing="0" w:after="330" w:afterAutospacing="0" w:line="576" w:lineRule="auto"/>
        <w:jc w:val="both"/>
      </w:pPr>
    </w:p>
    <w:p>
      <w:pPr>
        <w:keepNext/>
        <w:spacing w:before="100" w:beforeAutospacing="1" w:after="100" w:afterAutospacing="1"/>
        <w:ind w:left="198"/>
        <w:jc w:val="center"/>
      </w:pPr>
      <w:r>
        <w:rPr>
          <w:rFonts w:ascii="方正小标宋简体" w:hAnsi="方正小标宋简体"/>
          <w:sz w:val="44"/>
          <w:szCs w:val="44"/>
        </w:rPr>
        <w:t>2022</w:t>
      </w:r>
      <w:r>
        <w:rPr>
          <w:rFonts w:hint="eastAsia" w:ascii="方正小标宋简体" w:hAnsi="方正小标宋简体"/>
          <w:sz w:val="44"/>
          <w:szCs w:val="44"/>
        </w:rPr>
        <w:t>年度包头市人民政府国有资产监督管理委员会（</w:t>
      </w:r>
      <w:r>
        <w:rPr>
          <w:rFonts w:hint="eastAsia" w:ascii="方正小标宋简体" w:hAnsi="方正小标宋简体"/>
          <w:sz w:val="44"/>
          <w:szCs w:val="44"/>
          <w:lang w:eastAsia="zh-CN"/>
        </w:rPr>
        <w:t>部门</w:t>
      </w:r>
      <w:r>
        <w:rPr>
          <w:rFonts w:hint="eastAsia" w:ascii="方正小标宋简体" w:hAnsi="方正小标宋简体"/>
          <w:sz w:val="44"/>
          <w:szCs w:val="44"/>
        </w:rPr>
        <w:t>）决算公开</w:t>
      </w:r>
    </w:p>
    <w:p>
      <w:pPr>
        <w:keepNext/>
        <w:spacing w:before="100" w:beforeAutospacing="1" w:after="100" w:afterAutospacing="1"/>
        <w:ind w:left="198"/>
        <w:jc w:val="center"/>
      </w:pPr>
    </w:p>
    <w:p>
      <w:pPr>
        <w:pStyle w:val="13"/>
        <w:jc w:val="center"/>
      </w:pPr>
      <w:r>
        <w:rPr>
          <w:rFonts w:hint="eastAsia"/>
        </w:rPr>
        <w:t xml:space="preserve"> </w:t>
      </w:r>
    </w:p>
    <w:p>
      <w:pPr>
        <w:pStyle w:val="13"/>
        <w:jc w:val="center"/>
      </w:pPr>
      <w:r>
        <w:rPr>
          <w:rFonts w:hint="eastAsia"/>
        </w:rPr>
        <w:t xml:space="preserve"> </w:t>
      </w:r>
    </w:p>
    <w:p>
      <w:pPr>
        <w:pStyle w:val="13"/>
        <w:jc w:val="center"/>
      </w:pPr>
      <w:r>
        <w:rPr>
          <w:rFonts w:hint="eastAsia"/>
        </w:rPr>
        <w:t xml:space="preserve"> </w:t>
      </w:r>
    </w:p>
    <w:p>
      <w:pPr>
        <w:pStyle w:val="13"/>
        <w:jc w:val="center"/>
      </w:pPr>
      <w:r>
        <w:rPr>
          <w:rFonts w:hint="eastAsia"/>
        </w:rPr>
        <w:t xml:space="preserve"> </w:t>
      </w:r>
    </w:p>
    <w:p>
      <w:pPr>
        <w:pStyle w:val="13"/>
        <w:jc w:val="center"/>
      </w:pPr>
      <w:r>
        <w:rPr>
          <w:rFonts w:hint="eastAsia"/>
        </w:rPr>
        <w:t xml:space="preserve"> </w:t>
      </w:r>
    </w:p>
    <w:p>
      <w:pPr>
        <w:pStyle w:val="13"/>
        <w:jc w:val="center"/>
      </w:pPr>
      <w:r>
        <w:rPr>
          <w:rFonts w:hint="eastAsia"/>
        </w:rPr>
        <w:t xml:space="preserve"> </w:t>
      </w:r>
    </w:p>
    <w:p>
      <w:pPr>
        <w:pStyle w:val="13"/>
        <w:jc w:val="center"/>
      </w:pPr>
      <w:r>
        <w:rPr>
          <w:rFonts w:hint="eastAsia"/>
        </w:rPr>
        <w:t xml:space="preserve"> </w:t>
      </w:r>
    </w:p>
    <w:p>
      <w:pPr>
        <w:pStyle w:val="13"/>
        <w:jc w:val="center"/>
      </w:pPr>
      <w:r>
        <w:rPr>
          <w:rFonts w:hint="eastAsia"/>
        </w:rPr>
        <w:t xml:space="preserve"> </w:t>
      </w:r>
    </w:p>
    <w:p>
      <w:pPr>
        <w:pStyle w:val="13"/>
        <w:jc w:val="center"/>
      </w:pPr>
      <w:r>
        <w:rPr>
          <w:rFonts w:hint="eastAsia"/>
        </w:rPr>
        <w:t xml:space="preserve"> </w:t>
      </w:r>
    </w:p>
    <w:p>
      <w:pPr>
        <w:pStyle w:val="13"/>
        <w:jc w:val="center"/>
      </w:pPr>
      <w:r>
        <w:rPr>
          <w:rFonts w:hint="eastAsia"/>
        </w:rPr>
        <w:t xml:space="preserve"> </w:t>
      </w:r>
    </w:p>
    <w:p>
      <w:pPr>
        <w:pStyle w:val="13"/>
        <w:jc w:val="center"/>
      </w:pPr>
      <w:r>
        <w:rPr>
          <w:rFonts w:hint="eastAsia"/>
          <w:sz w:val="33"/>
          <w:szCs w:val="33"/>
        </w:rPr>
        <w:t>批复时间：2023年9月8日</w:t>
      </w:r>
    </w:p>
    <w:p>
      <w:pPr>
        <w:pStyle w:val="13"/>
        <w:jc w:val="center"/>
      </w:pPr>
      <w:r>
        <w:rPr>
          <w:rFonts w:hint="eastAsia"/>
          <w:sz w:val="33"/>
          <w:szCs w:val="33"/>
        </w:rPr>
        <w:t>公开时间：2023年9月26日</w:t>
      </w:r>
    </w:p>
    <w:p>
      <w:pPr>
        <w:spacing w:after="120"/>
        <w:ind w:left="420" w:firstLine="420"/>
        <w:jc w:val="both"/>
      </w:pPr>
      <w:r>
        <w:rPr>
          <w:rFonts w:hint="eastAsia"/>
        </w:rPr>
        <w:t xml:space="preserve"> </w:t>
      </w:r>
    </w:p>
    <w:p>
      <w:pPr>
        <w:spacing w:before="100" w:beforeAutospacing="1" w:after="100" w:afterAutospacing="1"/>
        <w:jc w:val="center"/>
        <w:rPr>
          <w:b/>
          <w:bCs/>
          <w:sz w:val="48"/>
          <w:szCs w:val="48"/>
        </w:rPr>
      </w:pPr>
      <w:r>
        <w:rPr>
          <w:rFonts w:hint="eastAsia"/>
          <w:b/>
          <w:bCs/>
          <w:sz w:val="48"/>
          <w:szCs w:val="48"/>
        </w:rPr>
        <w:t xml:space="preserve"> </w:t>
      </w:r>
    </w:p>
    <w:p>
      <w:pPr>
        <w:spacing w:before="100" w:beforeAutospacing="1" w:after="100" w:afterAutospacing="1"/>
        <w:jc w:val="center"/>
        <w:rPr>
          <w:b/>
          <w:bCs/>
          <w:sz w:val="48"/>
          <w:szCs w:val="48"/>
        </w:rPr>
      </w:pPr>
      <w:r>
        <w:rPr>
          <w:rFonts w:hint="eastAsia"/>
          <w:b/>
          <w:bCs/>
          <w:sz w:val="48"/>
          <w:szCs w:val="48"/>
        </w:rPr>
        <w:t xml:space="preserve"> </w:t>
      </w:r>
    </w:p>
    <w:p>
      <w:pPr>
        <w:spacing w:before="100" w:beforeAutospacing="1" w:after="100" w:afterAutospacing="1"/>
        <w:jc w:val="center"/>
      </w:pPr>
      <w:r>
        <w:rPr>
          <w:rFonts w:hint="eastAsia"/>
          <w:b/>
          <w:bCs/>
          <w:sz w:val="48"/>
          <w:szCs w:val="48"/>
        </w:rPr>
        <w:t>目</w:t>
      </w:r>
      <w:r>
        <w:rPr>
          <w:rFonts w:ascii="Times New Roman" w:hAnsi="Times New Roman" w:cs="Times New Roman"/>
          <w:b/>
          <w:bCs/>
          <w:sz w:val="48"/>
          <w:szCs w:val="48"/>
        </w:rPr>
        <w:t xml:space="preserve">  </w:t>
      </w:r>
      <w:r>
        <w:rPr>
          <w:rFonts w:hint="eastAsia"/>
          <w:b/>
          <w:bCs/>
          <w:sz w:val="48"/>
          <w:szCs w:val="48"/>
        </w:rPr>
        <w:t>录</w:t>
      </w:r>
    </w:p>
    <w:p>
      <w:pPr>
        <w:spacing w:before="100" w:beforeAutospacing="1" w:after="100" w:afterAutospacing="1" w:line="360" w:lineRule="auto"/>
        <w:jc w:val="both"/>
      </w:pPr>
      <w:r>
        <w:rPr>
          <w:rFonts w:hint="eastAsia" w:ascii="黑体" w:hAnsi="黑体" w:eastAsia="黑体"/>
          <w:sz w:val="32"/>
          <w:szCs w:val="32"/>
        </w:rPr>
        <w:t>第一部分</w:t>
      </w:r>
      <w:r>
        <w:rPr>
          <w:rFonts w:hint="eastAsia" w:ascii="黑体" w:eastAsia="黑体"/>
          <w:sz w:val="32"/>
          <w:szCs w:val="32"/>
        </w:rPr>
        <w:t xml:space="preserve"> </w:t>
      </w:r>
      <w:r>
        <w:rPr>
          <w:rFonts w:hint="eastAsia" w:ascii="黑体" w:hAnsi="黑体" w:eastAsia="黑体"/>
          <w:sz w:val="32"/>
          <w:szCs w:val="32"/>
        </w:rPr>
        <w:t>单位概况</w:t>
      </w:r>
    </w:p>
    <w:p>
      <w:pPr>
        <w:spacing w:before="100" w:beforeAutospacing="1" w:after="100" w:afterAutospacing="1" w:line="360" w:lineRule="auto"/>
        <w:jc w:val="both"/>
      </w:pPr>
      <w:r>
        <w:rPr>
          <w:rFonts w:hint="eastAsia"/>
          <w:sz w:val="32"/>
          <w:szCs w:val="32"/>
        </w:rPr>
        <w:t>一、主要职能、职责</w:t>
      </w:r>
    </w:p>
    <w:p>
      <w:pPr>
        <w:spacing w:before="6" w:after="120"/>
        <w:ind w:right="1670"/>
        <w:jc w:val="both"/>
      </w:pPr>
      <w:r>
        <w:rPr>
          <w:rFonts w:hint="eastAsia"/>
          <w:sz w:val="32"/>
          <w:szCs w:val="32"/>
        </w:rPr>
        <w:t>二、单位机构设置及决算单位构成情况</w:t>
      </w:r>
    </w:p>
    <w:p>
      <w:pPr>
        <w:spacing w:before="6" w:after="120"/>
        <w:ind w:right="1670"/>
        <w:jc w:val="both"/>
      </w:pPr>
      <w:r>
        <w:rPr>
          <w:rFonts w:hint="eastAsia"/>
          <w:sz w:val="32"/>
          <w:szCs w:val="32"/>
        </w:rPr>
        <w:t>三、2022年主要工作完成情况</w:t>
      </w:r>
    </w:p>
    <w:p>
      <w:pPr>
        <w:spacing w:before="100" w:beforeAutospacing="1" w:after="100" w:afterAutospacing="1" w:line="360" w:lineRule="auto"/>
        <w:jc w:val="both"/>
      </w:pPr>
      <w:r>
        <w:rPr>
          <w:rFonts w:hint="eastAsia" w:ascii="黑体" w:hAnsi="黑体" w:eastAsia="黑体"/>
          <w:sz w:val="32"/>
          <w:szCs w:val="32"/>
        </w:rPr>
        <w:t>第二部分</w:t>
      </w:r>
      <w:r>
        <w:rPr>
          <w:rFonts w:hint="eastAsia" w:ascii="黑体" w:eastAsia="黑体"/>
          <w:sz w:val="32"/>
          <w:szCs w:val="32"/>
        </w:rPr>
        <w:t xml:space="preserve"> </w:t>
      </w:r>
      <w:r>
        <w:rPr>
          <w:rFonts w:hint="eastAsia" w:ascii="黑体" w:hAnsi="黑体" w:eastAsia="黑体"/>
          <w:sz w:val="32"/>
          <w:szCs w:val="32"/>
        </w:rPr>
        <w:t>2022年度单位决算情况说明</w:t>
      </w:r>
    </w:p>
    <w:p>
      <w:pPr>
        <w:spacing w:before="100" w:beforeAutospacing="1" w:after="100" w:afterAutospacing="1" w:line="360" w:lineRule="auto"/>
        <w:jc w:val="both"/>
      </w:pPr>
      <w:r>
        <w:rPr>
          <w:rFonts w:hint="eastAsia"/>
          <w:sz w:val="32"/>
          <w:szCs w:val="32"/>
        </w:rPr>
        <w:t>一、收入支出决算总体情况说明</w:t>
      </w:r>
    </w:p>
    <w:p>
      <w:pPr>
        <w:spacing w:before="100" w:beforeAutospacing="1" w:after="100" w:afterAutospacing="1" w:line="360" w:lineRule="auto"/>
        <w:jc w:val="both"/>
      </w:pPr>
      <w:r>
        <w:rPr>
          <w:rFonts w:hint="eastAsia"/>
          <w:sz w:val="32"/>
          <w:szCs w:val="32"/>
        </w:rPr>
        <w:t>二、收入决算情况说明</w:t>
      </w:r>
    </w:p>
    <w:p>
      <w:pPr>
        <w:spacing w:before="100" w:beforeAutospacing="1" w:after="100" w:afterAutospacing="1" w:line="360" w:lineRule="auto"/>
        <w:jc w:val="both"/>
      </w:pPr>
      <w:r>
        <w:rPr>
          <w:rFonts w:hint="eastAsia"/>
          <w:sz w:val="32"/>
          <w:szCs w:val="32"/>
        </w:rPr>
        <w:t>三、支出决算情况说明</w:t>
      </w:r>
    </w:p>
    <w:p>
      <w:pPr>
        <w:spacing w:before="100" w:beforeAutospacing="1" w:after="100" w:afterAutospacing="1" w:line="360" w:lineRule="auto"/>
        <w:jc w:val="both"/>
      </w:pPr>
      <w:r>
        <w:rPr>
          <w:rFonts w:hint="eastAsia"/>
          <w:sz w:val="32"/>
          <w:szCs w:val="32"/>
        </w:rPr>
        <w:t>四、财政拨款收入支出决算总体情况说明</w:t>
      </w:r>
    </w:p>
    <w:p>
      <w:pPr>
        <w:spacing w:before="100" w:beforeAutospacing="1" w:after="100" w:afterAutospacing="1" w:line="360" w:lineRule="auto"/>
        <w:jc w:val="both"/>
      </w:pPr>
      <w:r>
        <w:rPr>
          <w:rFonts w:hint="eastAsia"/>
          <w:sz w:val="32"/>
          <w:szCs w:val="32"/>
        </w:rPr>
        <w:t>五、一般公共预算支出决算情况说明</w:t>
      </w:r>
    </w:p>
    <w:p>
      <w:pPr>
        <w:spacing w:before="100" w:beforeAutospacing="1" w:after="100" w:afterAutospacing="1" w:line="360" w:lineRule="auto"/>
        <w:jc w:val="both"/>
      </w:pPr>
      <w:r>
        <w:rPr>
          <w:rFonts w:hint="eastAsia"/>
          <w:sz w:val="32"/>
          <w:szCs w:val="32"/>
        </w:rPr>
        <w:t>六、一般公共预算基本支出决算情况说明</w:t>
      </w:r>
    </w:p>
    <w:p>
      <w:pPr>
        <w:spacing w:before="100" w:beforeAutospacing="1" w:after="100" w:afterAutospacing="1" w:line="360" w:lineRule="auto"/>
        <w:jc w:val="both"/>
      </w:pPr>
      <w:r>
        <w:rPr>
          <w:rFonts w:hint="eastAsia"/>
          <w:sz w:val="32"/>
          <w:szCs w:val="32"/>
        </w:rPr>
        <w:t>七、一般公共预算项目支出决算情况说明</w:t>
      </w:r>
    </w:p>
    <w:p>
      <w:pPr>
        <w:spacing w:before="100" w:beforeAutospacing="1" w:after="100" w:afterAutospacing="1" w:line="360" w:lineRule="auto"/>
        <w:jc w:val="both"/>
      </w:pPr>
      <w:r>
        <w:rPr>
          <w:rFonts w:hint="eastAsia"/>
          <w:sz w:val="32"/>
          <w:szCs w:val="32"/>
        </w:rPr>
        <w:t>八、财政拨款</w:t>
      </w:r>
      <w:r>
        <w:rPr>
          <w:rFonts w:ascii="Times New Roman" w:hAnsi="Times New Roman" w:cs="Times New Roman"/>
          <w:sz w:val="32"/>
          <w:szCs w:val="32"/>
        </w:rPr>
        <w:t>“</w:t>
      </w:r>
      <w:r>
        <w:rPr>
          <w:rFonts w:hint="eastAsia"/>
          <w:sz w:val="32"/>
          <w:szCs w:val="32"/>
        </w:rPr>
        <w:t>三公</w:t>
      </w:r>
      <w:r>
        <w:rPr>
          <w:rFonts w:ascii="Times New Roman" w:hAnsi="Times New Roman" w:cs="Times New Roman"/>
          <w:sz w:val="32"/>
          <w:szCs w:val="32"/>
        </w:rPr>
        <w:t>”</w:t>
      </w:r>
      <w:r>
        <w:rPr>
          <w:rFonts w:hint="eastAsia"/>
          <w:sz w:val="32"/>
          <w:szCs w:val="32"/>
        </w:rPr>
        <w:t>经费支出决算情况说明</w:t>
      </w:r>
    </w:p>
    <w:p>
      <w:pPr>
        <w:spacing w:before="100" w:beforeAutospacing="1" w:after="100" w:afterAutospacing="1" w:line="360" w:lineRule="auto"/>
        <w:jc w:val="both"/>
      </w:pPr>
      <w:r>
        <w:rPr>
          <w:rFonts w:hint="eastAsia"/>
          <w:sz w:val="32"/>
          <w:szCs w:val="32"/>
        </w:rPr>
        <w:t>九、政府性基金预算财政拨款支出决算情况说明</w:t>
      </w:r>
    </w:p>
    <w:p>
      <w:pPr>
        <w:spacing w:before="100" w:beforeAutospacing="1" w:after="100" w:afterAutospacing="1" w:line="360" w:lineRule="auto"/>
        <w:jc w:val="both"/>
      </w:pPr>
      <w:r>
        <w:rPr>
          <w:rFonts w:hint="eastAsia"/>
          <w:sz w:val="32"/>
          <w:szCs w:val="32"/>
        </w:rPr>
        <w:t>十、国有资本经营预算财政拨款支出决算情况说明</w:t>
      </w:r>
    </w:p>
    <w:p>
      <w:pPr>
        <w:spacing w:before="100" w:beforeAutospacing="1" w:after="100" w:afterAutospacing="1" w:line="360" w:lineRule="auto"/>
        <w:jc w:val="both"/>
      </w:pPr>
      <w:r>
        <w:rPr>
          <w:rFonts w:hint="eastAsia"/>
          <w:sz w:val="32"/>
          <w:szCs w:val="32"/>
        </w:rPr>
        <w:t>十一、项目支出决算情况说明</w:t>
      </w:r>
    </w:p>
    <w:p>
      <w:pPr>
        <w:spacing w:before="100" w:beforeAutospacing="1" w:after="100" w:afterAutospacing="1" w:line="360" w:lineRule="auto"/>
        <w:jc w:val="both"/>
      </w:pPr>
      <w:r>
        <w:rPr>
          <w:rFonts w:hint="eastAsia"/>
          <w:sz w:val="32"/>
          <w:szCs w:val="32"/>
        </w:rPr>
        <w:t>十二、机构运行经费支出决算情况说明</w:t>
      </w:r>
    </w:p>
    <w:p>
      <w:pPr>
        <w:spacing w:before="100" w:beforeAutospacing="1" w:after="100" w:afterAutospacing="1" w:line="360" w:lineRule="auto"/>
        <w:jc w:val="both"/>
      </w:pPr>
      <w:r>
        <w:rPr>
          <w:rFonts w:hint="eastAsia"/>
          <w:sz w:val="32"/>
          <w:szCs w:val="32"/>
        </w:rPr>
        <w:t>十三、政府采购支出决算情况说明</w:t>
      </w:r>
    </w:p>
    <w:p>
      <w:pPr>
        <w:spacing w:before="100" w:beforeAutospacing="1" w:after="100" w:afterAutospacing="1" w:line="360" w:lineRule="auto"/>
        <w:jc w:val="both"/>
      </w:pPr>
      <w:r>
        <w:rPr>
          <w:rFonts w:hint="eastAsia"/>
          <w:sz w:val="32"/>
          <w:szCs w:val="32"/>
        </w:rPr>
        <w:t>十四、国有资产占用情况说明</w:t>
      </w:r>
    </w:p>
    <w:p>
      <w:pPr>
        <w:spacing w:before="100" w:beforeAutospacing="1" w:after="100" w:afterAutospacing="1" w:line="360" w:lineRule="auto"/>
        <w:jc w:val="both"/>
      </w:pPr>
      <w:r>
        <w:rPr>
          <w:rFonts w:hint="eastAsia"/>
          <w:sz w:val="32"/>
          <w:szCs w:val="32"/>
        </w:rPr>
        <w:t>十五、预算绩效情况说明</w:t>
      </w:r>
    </w:p>
    <w:p>
      <w:pPr>
        <w:spacing w:before="100" w:beforeAutospacing="1" w:after="100" w:afterAutospacing="1" w:line="360" w:lineRule="auto"/>
        <w:jc w:val="both"/>
      </w:pPr>
      <w:r>
        <w:rPr>
          <w:rFonts w:hint="eastAsia" w:ascii="黑体" w:hAnsi="黑体" w:eastAsia="黑体"/>
          <w:sz w:val="32"/>
          <w:szCs w:val="32"/>
        </w:rPr>
        <w:t>第三部分</w:t>
      </w:r>
      <w:r>
        <w:rPr>
          <w:rFonts w:hint="eastAsia" w:ascii="黑体" w:eastAsia="黑体"/>
          <w:sz w:val="32"/>
          <w:szCs w:val="32"/>
        </w:rPr>
        <w:t xml:space="preserve"> </w:t>
      </w:r>
      <w:r>
        <w:rPr>
          <w:rFonts w:hint="eastAsia" w:ascii="黑体" w:hAnsi="黑体" w:eastAsia="黑体"/>
          <w:sz w:val="32"/>
          <w:szCs w:val="32"/>
        </w:rPr>
        <w:t>名词解释</w:t>
      </w:r>
    </w:p>
    <w:p>
      <w:pPr>
        <w:spacing w:before="100" w:beforeAutospacing="1" w:after="100" w:afterAutospacing="1" w:line="600" w:lineRule="atLeast"/>
        <w:jc w:val="both"/>
      </w:pPr>
      <w:r>
        <w:rPr>
          <w:rFonts w:hint="eastAsia" w:ascii="黑体" w:hAnsi="黑体" w:eastAsia="黑体"/>
          <w:sz w:val="32"/>
          <w:szCs w:val="32"/>
        </w:rPr>
        <w:t>第四部分</w:t>
      </w:r>
      <w:r>
        <w:rPr>
          <w:rFonts w:hint="eastAsia" w:ascii="黑体" w:eastAsia="黑体"/>
          <w:sz w:val="32"/>
          <w:szCs w:val="32"/>
        </w:rPr>
        <w:t xml:space="preserve"> </w:t>
      </w:r>
      <w:r>
        <w:rPr>
          <w:rFonts w:hint="eastAsia" w:ascii="黑体" w:hAnsi="黑体" w:eastAsia="黑体"/>
          <w:sz w:val="32"/>
          <w:szCs w:val="32"/>
        </w:rPr>
        <w:t>决算公开联系方式及信息反馈渠道</w:t>
      </w:r>
    </w:p>
    <w:p>
      <w:pPr>
        <w:spacing w:before="100" w:beforeAutospacing="1" w:after="100" w:afterAutospacing="1" w:line="360" w:lineRule="auto"/>
        <w:jc w:val="both"/>
      </w:pPr>
      <w:r>
        <w:rPr>
          <w:rFonts w:hint="eastAsia" w:ascii="黑体" w:hAnsi="黑体" w:eastAsia="黑体"/>
          <w:sz w:val="32"/>
          <w:szCs w:val="32"/>
        </w:rPr>
        <w:t>第五部分</w:t>
      </w:r>
      <w:r>
        <w:rPr>
          <w:rFonts w:hint="eastAsia" w:ascii="黑体" w:eastAsia="黑体"/>
          <w:sz w:val="32"/>
          <w:szCs w:val="32"/>
        </w:rPr>
        <w:t xml:space="preserve"> </w:t>
      </w:r>
      <w:r>
        <w:rPr>
          <w:rFonts w:hint="eastAsia" w:ascii="黑体" w:hAnsi="黑体" w:eastAsia="黑体"/>
          <w:sz w:val="32"/>
          <w:szCs w:val="32"/>
        </w:rPr>
        <w:t>2022年度单位决算表</w:t>
      </w:r>
    </w:p>
    <w:p>
      <w:pPr>
        <w:spacing w:before="100" w:beforeAutospacing="1" w:after="100" w:afterAutospacing="1" w:line="360" w:lineRule="auto"/>
        <w:jc w:val="both"/>
      </w:pPr>
      <w:r>
        <w:rPr>
          <w:rFonts w:hint="eastAsia"/>
          <w:sz w:val="32"/>
          <w:szCs w:val="32"/>
        </w:rPr>
        <w:t>一、收入支出决算总表</w:t>
      </w:r>
    </w:p>
    <w:p>
      <w:pPr>
        <w:spacing w:before="100" w:beforeAutospacing="1" w:after="100" w:afterAutospacing="1" w:line="360" w:lineRule="auto"/>
        <w:jc w:val="both"/>
      </w:pPr>
      <w:r>
        <w:rPr>
          <w:rFonts w:hint="eastAsia"/>
          <w:sz w:val="32"/>
          <w:szCs w:val="32"/>
        </w:rPr>
        <w:t>二、收入决算表</w:t>
      </w:r>
    </w:p>
    <w:p>
      <w:pPr>
        <w:spacing w:before="100" w:beforeAutospacing="1" w:after="100" w:afterAutospacing="1" w:line="360" w:lineRule="auto"/>
        <w:jc w:val="both"/>
      </w:pPr>
      <w:r>
        <w:rPr>
          <w:rFonts w:hint="eastAsia"/>
          <w:sz w:val="32"/>
          <w:szCs w:val="32"/>
        </w:rPr>
        <w:t>三、支出决算表</w:t>
      </w:r>
    </w:p>
    <w:p>
      <w:pPr>
        <w:spacing w:before="100" w:beforeAutospacing="1" w:after="100" w:afterAutospacing="1" w:line="360" w:lineRule="auto"/>
        <w:jc w:val="both"/>
      </w:pPr>
      <w:r>
        <w:rPr>
          <w:rFonts w:hint="eastAsia"/>
          <w:sz w:val="32"/>
          <w:szCs w:val="32"/>
        </w:rPr>
        <w:t>四、财政拨款收入支出决算总表</w:t>
      </w:r>
    </w:p>
    <w:p>
      <w:pPr>
        <w:spacing w:before="100" w:beforeAutospacing="1" w:after="100" w:afterAutospacing="1" w:line="360" w:lineRule="auto"/>
        <w:jc w:val="both"/>
      </w:pPr>
      <w:r>
        <w:rPr>
          <w:rFonts w:hint="eastAsia"/>
          <w:sz w:val="32"/>
          <w:szCs w:val="32"/>
        </w:rPr>
        <w:t>五、项目收入支出决算表</w:t>
      </w:r>
    </w:p>
    <w:p>
      <w:pPr>
        <w:spacing w:before="100" w:beforeAutospacing="1" w:after="100" w:afterAutospacing="1" w:line="360" w:lineRule="auto"/>
        <w:jc w:val="both"/>
      </w:pPr>
      <w:r>
        <w:rPr>
          <w:rFonts w:hint="eastAsia"/>
          <w:sz w:val="32"/>
          <w:szCs w:val="32"/>
        </w:rPr>
        <w:t>六、一般公共预算财政拨款支出决算表</w:t>
      </w:r>
    </w:p>
    <w:p>
      <w:pPr>
        <w:spacing w:before="100" w:beforeAutospacing="1" w:after="100" w:afterAutospacing="1" w:line="360" w:lineRule="auto"/>
        <w:jc w:val="both"/>
      </w:pPr>
      <w:r>
        <w:rPr>
          <w:rFonts w:hint="eastAsia"/>
          <w:sz w:val="32"/>
          <w:szCs w:val="32"/>
        </w:rPr>
        <w:t>七、一般公共预算财政拨款基本支出决算明细表</w:t>
      </w:r>
    </w:p>
    <w:p>
      <w:pPr>
        <w:spacing w:before="100" w:beforeAutospacing="1" w:after="100" w:afterAutospacing="1" w:line="360" w:lineRule="auto"/>
        <w:jc w:val="both"/>
      </w:pPr>
      <w:r>
        <w:rPr>
          <w:rFonts w:hint="eastAsia"/>
          <w:color w:val="000000"/>
          <w:sz w:val="32"/>
          <w:szCs w:val="32"/>
        </w:rPr>
        <w:t>八、一般公共预算财政拨款项目支出决算明细表</w:t>
      </w:r>
    </w:p>
    <w:p>
      <w:pPr>
        <w:spacing w:before="100" w:beforeAutospacing="1" w:after="100" w:afterAutospacing="1" w:line="360" w:lineRule="auto"/>
        <w:jc w:val="both"/>
      </w:pPr>
      <w:r>
        <w:rPr>
          <w:rFonts w:hint="eastAsia"/>
          <w:color w:val="000000"/>
          <w:sz w:val="32"/>
          <w:szCs w:val="32"/>
        </w:rPr>
        <w:t>九、政府性基金预算财政拨款收入支出决算表</w:t>
      </w:r>
    </w:p>
    <w:p>
      <w:pPr>
        <w:spacing w:before="100" w:beforeAutospacing="1" w:after="100" w:afterAutospacing="1" w:line="360" w:lineRule="auto"/>
        <w:jc w:val="both"/>
      </w:pPr>
      <w:r>
        <w:rPr>
          <w:rFonts w:hint="eastAsia"/>
          <w:color w:val="000000"/>
          <w:sz w:val="32"/>
          <w:szCs w:val="32"/>
        </w:rPr>
        <w:t>十、国有资本经营预算财政拨款支出决算表</w:t>
      </w:r>
    </w:p>
    <w:p>
      <w:pPr>
        <w:spacing w:before="100" w:beforeAutospacing="1" w:after="100" w:afterAutospacing="1" w:line="360" w:lineRule="auto"/>
        <w:jc w:val="both"/>
      </w:pPr>
      <w:r>
        <w:rPr>
          <w:rFonts w:hint="eastAsia"/>
          <w:color w:val="000000"/>
          <w:sz w:val="32"/>
          <w:szCs w:val="32"/>
        </w:rPr>
        <w:t>十一、财政拨款</w:t>
      </w:r>
      <w:r>
        <w:rPr>
          <w:rFonts w:ascii="Times New Roman" w:hAnsi="Times New Roman" w:cs="Times New Roman"/>
          <w:color w:val="000000"/>
          <w:sz w:val="32"/>
          <w:szCs w:val="32"/>
        </w:rPr>
        <w:t>“</w:t>
      </w:r>
      <w:r>
        <w:rPr>
          <w:rFonts w:hint="eastAsia"/>
          <w:color w:val="000000"/>
          <w:sz w:val="32"/>
          <w:szCs w:val="32"/>
        </w:rPr>
        <w:t>三公</w:t>
      </w:r>
      <w:r>
        <w:rPr>
          <w:rFonts w:ascii="Times New Roman" w:hAnsi="Times New Roman" w:cs="Times New Roman"/>
          <w:color w:val="000000"/>
          <w:sz w:val="32"/>
          <w:szCs w:val="32"/>
        </w:rPr>
        <w:t>”</w:t>
      </w:r>
      <w:r>
        <w:rPr>
          <w:rFonts w:hint="eastAsia"/>
          <w:color w:val="000000"/>
          <w:sz w:val="32"/>
          <w:szCs w:val="32"/>
        </w:rPr>
        <w:t>经费支出决算表</w:t>
      </w:r>
    </w:p>
    <w:p>
      <w:pPr>
        <w:spacing w:before="100" w:beforeAutospacing="1" w:after="100" w:afterAutospacing="1" w:line="360" w:lineRule="auto"/>
        <w:jc w:val="both"/>
      </w:pPr>
      <w:r>
        <w:rPr>
          <w:rFonts w:hint="eastAsia"/>
          <w:color w:val="000000"/>
          <w:sz w:val="32"/>
          <w:szCs w:val="32"/>
        </w:rPr>
        <w:t>十二、机构运行经费支出、国有资产占用情况及政府采购支出信息表</w:t>
      </w:r>
    </w:p>
    <w:p>
      <w:pPr>
        <w:rPr>
          <w:rFonts w:hint="eastAsia" w:ascii="方正小标宋简体" w:hAnsi="方正小标宋简体"/>
          <w:b/>
          <w:bCs/>
          <w:sz w:val="36"/>
          <w:szCs w:val="36"/>
        </w:rPr>
      </w:pPr>
      <w:r>
        <w:rPr>
          <w:rFonts w:ascii="方正小标宋简体"/>
        </w:rPr>
        <w:br w:type="page"/>
      </w:r>
    </w:p>
    <w:p>
      <w:pPr>
        <w:pStyle w:val="3"/>
        <w:keepNext/>
        <w:spacing w:line="600" w:lineRule="atLeast"/>
        <w:jc w:val="center"/>
      </w:pPr>
      <w:r>
        <w:rPr>
          <w:rFonts w:hint="eastAsia" w:ascii="方正小标宋简体" w:hAnsi="方正小标宋简体"/>
        </w:rPr>
        <w:t>第一部分</w:t>
      </w:r>
      <w:r>
        <w:rPr>
          <w:rFonts w:hint="eastAsia"/>
        </w:rPr>
        <w:t xml:space="preserve"> </w:t>
      </w:r>
      <w:r>
        <w:rPr>
          <w:rFonts w:ascii="方正小标宋简体" w:hAnsi="方正小标宋简体"/>
        </w:rPr>
        <w:t xml:space="preserve"> </w:t>
      </w:r>
      <w:r>
        <w:rPr>
          <w:rFonts w:hint="eastAsia" w:ascii="方正小标宋简体" w:hAnsi="方正小标宋简体"/>
        </w:rPr>
        <w:t>单位概况</w:t>
      </w:r>
    </w:p>
    <w:p>
      <w:pPr>
        <w:spacing w:before="100" w:beforeAutospacing="1" w:after="100" w:afterAutospacing="1" w:line="600" w:lineRule="atLeast"/>
        <w:ind w:left="424" w:firstLine="212"/>
        <w:jc w:val="both"/>
      </w:pPr>
      <w:r>
        <w:rPr>
          <w:rFonts w:hint="eastAsia" w:ascii="黑体" w:hAnsi="黑体" w:eastAsia="黑体"/>
          <w:b/>
          <w:bCs/>
          <w:sz w:val="32"/>
          <w:szCs w:val="32"/>
        </w:rPr>
        <w:t>一、主要职能、职责</w:t>
      </w:r>
    </w:p>
    <w:p>
      <w:pPr>
        <w:autoSpaceDE w:val="0"/>
        <w:adjustRightInd w:val="0"/>
        <w:spacing w:before="100" w:beforeAutospacing="1" w:after="100" w:afterAutospacing="1" w:line="560" w:lineRule="exact"/>
        <w:ind w:firstLine="640" w:firstLineChars="200"/>
        <w:jc w:val="both"/>
        <w:rPr>
          <w:rFonts w:ascii="Times New Roman" w:hAnsi="Times New Roman" w:cs="Times New Roman"/>
          <w:color w:val="000000"/>
          <w:sz w:val="32"/>
          <w:szCs w:val="32"/>
        </w:rPr>
      </w:pPr>
      <w:r>
        <w:rPr>
          <w:rFonts w:ascii="Times New Roman" w:hAnsi="Times New Roman" w:cs="Times New Roman"/>
          <w:color w:val="000000"/>
          <w:sz w:val="32"/>
          <w:szCs w:val="32"/>
        </w:rPr>
        <w:t>1</w:t>
      </w:r>
      <w:r>
        <w:rPr>
          <w:rFonts w:hint="eastAsia"/>
          <w:color w:val="000000"/>
          <w:sz w:val="32"/>
          <w:szCs w:val="32"/>
        </w:rPr>
        <w:t>、根据包头市人民政府授权，依照《中华人民共和国公司法》、《中华人民共和国企业国有资产法》等法律和行政法规履行出资人职责，监管包头市本级所属企业的国有资产，加强国有资产管理。</w:t>
      </w:r>
    </w:p>
    <w:p>
      <w:pPr>
        <w:autoSpaceDE w:val="0"/>
        <w:adjustRightInd w:val="0"/>
        <w:spacing w:before="100" w:beforeAutospacing="1" w:after="100" w:afterAutospacing="1" w:line="560" w:lineRule="exact"/>
        <w:ind w:firstLine="640" w:firstLineChars="200"/>
        <w:jc w:val="both"/>
        <w:rPr>
          <w:rFonts w:ascii="Times New Roman" w:hAnsi="Times New Roman" w:cs="Times New Roman"/>
          <w:color w:val="000000"/>
          <w:sz w:val="32"/>
          <w:szCs w:val="32"/>
        </w:rPr>
      </w:pPr>
      <w:r>
        <w:rPr>
          <w:rFonts w:ascii="Times New Roman" w:hAnsi="Times New Roman" w:cs="Times New Roman"/>
          <w:color w:val="000000"/>
          <w:sz w:val="32"/>
          <w:szCs w:val="32"/>
        </w:rPr>
        <w:t>2</w:t>
      </w:r>
      <w:r>
        <w:rPr>
          <w:rFonts w:hint="eastAsia"/>
          <w:color w:val="000000"/>
          <w:sz w:val="32"/>
          <w:szCs w:val="32"/>
        </w:rPr>
        <w:t>、承担监督所监管企业国有资产保值增值的责任，贯彻执行国有资产保值增值指标体系，制定考核标准和措施办法；通过统计、稽核对所监管企业国有资产的保值增值情况进行监管，负责监管企业工资分配管理工作，制定所监管企业负责人收入分配政策并组织实施。</w:t>
      </w:r>
    </w:p>
    <w:p>
      <w:pPr>
        <w:autoSpaceDE w:val="0"/>
        <w:adjustRightInd w:val="0"/>
        <w:spacing w:before="100" w:beforeAutospacing="1" w:after="100" w:afterAutospacing="1" w:line="560" w:lineRule="exact"/>
        <w:ind w:firstLine="640" w:firstLineChars="200"/>
        <w:jc w:val="both"/>
        <w:rPr>
          <w:rFonts w:ascii="Times New Roman" w:hAnsi="Times New Roman" w:cs="Times New Roman"/>
          <w:color w:val="000000"/>
          <w:sz w:val="32"/>
          <w:szCs w:val="32"/>
        </w:rPr>
      </w:pPr>
      <w:r>
        <w:rPr>
          <w:rFonts w:ascii="Times New Roman" w:hAnsi="Times New Roman" w:cs="Times New Roman"/>
          <w:color w:val="000000"/>
          <w:sz w:val="32"/>
          <w:szCs w:val="32"/>
        </w:rPr>
        <w:t>3</w:t>
      </w:r>
      <w:r>
        <w:rPr>
          <w:rFonts w:hint="eastAsia"/>
          <w:color w:val="000000"/>
          <w:sz w:val="32"/>
          <w:szCs w:val="32"/>
        </w:rPr>
        <w:t>、指导推进国有企业改革和重组，推进国有企业的现代企业制度建设，完善公司治理结构，推动国有经济布局和结构调整。</w:t>
      </w:r>
    </w:p>
    <w:p>
      <w:pPr>
        <w:autoSpaceDE w:val="0"/>
        <w:adjustRightInd w:val="0"/>
        <w:spacing w:before="100" w:beforeAutospacing="1" w:after="100" w:afterAutospacing="1" w:line="560" w:lineRule="exact"/>
        <w:ind w:firstLine="640" w:firstLineChars="200"/>
        <w:jc w:val="both"/>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rPr>
        <w:t>4</w:t>
      </w:r>
      <w:r>
        <w:rPr>
          <w:rFonts w:hint="eastAsia"/>
          <w:color w:val="000000"/>
          <w:sz w:val="32"/>
          <w:szCs w:val="32"/>
        </w:rPr>
        <w:t>、</w:t>
      </w:r>
      <w:r>
        <w:rPr>
          <w:rFonts w:hint="eastAsia"/>
          <w:color w:val="000000"/>
          <w:sz w:val="32"/>
          <w:szCs w:val="32"/>
          <w:shd w:val="clear" w:color="auto" w:fill="FFFFFF"/>
        </w:rPr>
        <w:t>通过法定程序和权限，对所监管企业负责人进行任免、考核，并根据其经营业绩进行奖惩，完善经营者激励和约束制度。</w:t>
      </w:r>
    </w:p>
    <w:p>
      <w:pPr>
        <w:autoSpaceDE w:val="0"/>
        <w:adjustRightInd w:val="0"/>
        <w:spacing w:before="100" w:beforeAutospacing="1" w:after="100" w:afterAutospacing="1" w:line="560" w:lineRule="exact"/>
        <w:ind w:firstLine="640" w:firstLineChars="200"/>
        <w:jc w:val="both"/>
        <w:rPr>
          <w:rFonts w:ascii="Times New Roman" w:hAnsi="Times New Roman" w:cs="Times New Roman"/>
          <w:color w:val="000000"/>
          <w:sz w:val="32"/>
          <w:szCs w:val="32"/>
        </w:rPr>
      </w:pPr>
      <w:r>
        <w:rPr>
          <w:rFonts w:ascii="Times New Roman" w:hAnsi="Times New Roman" w:cs="Times New Roman"/>
          <w:color w:val="000000"/>
          <w:sz w:val="32"/>
          <w:szCs w:val="32"/>
          <w:shd w:val="clear" w:color="auto" w:fill="FFFFFF"/>
        </w:rPr>
        <w:t>5</w:t>
      </w:r>
      <w:r>
        <w:rPr>
          <w:rFonts w:hint="eastAsia"/>
          <w:color w:val="000000"/>
          <w:sz w:val="32"/>
          <w:szCs w:val="32"/>
          <w:shd w:val="clear" w:color="auto" w:fill="FFFFFF"/>
        </w:rPr>
        <w:t>、</w:t>
      </w:r>
      <w:r>
        <w:rPr>
          <w:rFonts w:hint="eastAsia"/>
          <w:color w:val="000000"/>
          <w:sz w:val="32"/>
          <w:szCs w:val="32"/>
        </w:rPr>
        <w:t>按照有关规定和授权，代表包头市人民政府向所监管企业派出监事会，负责监事会的日常管理工作。</w:t>
      </w:r>
    </w:p>
    <w:p>
      <w:pPr>
        <w:autoSpaceDE w:val="0"/>
        <w:adjustRightInd w:val="0"/>
        <w:spacing w:before="100" w:beforeAutospacing="1" w:after="100" w:afterAutospacing="1" w:line="560" w:lineRule="exact"/>
        <w:ind w:firstLine="640" w:firstLineChars="200"/>
        <w:jc w:val="both"/>
        <w:rPr>
          <w:rFonts w:ascii="Times New Roman" w:hAnsi="Times New Roman" w:cs="Times New Roman"/>
          <w:color w:val="000000"/>
          <w:sz w:val="32"/>
          <w:szCs w:val="32"/>
        </w:rPr>
      </w:pPr>
      <w:r>
        <w:rPr>
          <w:rFonts w:ascii="Times New Roman" w:hAnsi="Times New Roman" w:cs="Times New Roman"/>
          <w:color w:val="000000"/>
          <w:sz w:val="32"/>
          <w:szCs w:val="32"/>
        </w:rPr>
        <w:t>6</w:t>
      </w:r>
      <w:r>
        <w:rPr>
          <w:rFonts w:hint="eastAsia"/>
          <w:color w:val="000000"/>
          <w:sz w:val="32"/>
          <w:szCs w:val="32"/>
        </w:rPr>
        <w:t>、负责组织所出资企业上交国有资本收益，参与拟定包头市国有资本经营预算有关管理制度和办法，按照有关规定负责国有资本经营预算编制和执行等工作。</w:t>
      </w:r>
    </w:p>
    <w:p>
      <w:pPr>
        <w:autoSpaceDE w:val="0"/>
        <w:adjustRightInd w:val="0"/>
        <w:spacing w:before="100" w:beforeAutospacing="1" w:after="100" w:afterAutospacing="1" w:line="560" w:lineRule="exact"/>
        <w:ind w:firstLine="640" w:firstLineChars="200"/>
        <w:jc w:val="both"/>
        <w:rPr>
          <w:rFonts w:ascii="Times New Roman" w:hAnsi="Times New Roman" w:cs="Times New Roman"/>
          <w:color w:val="000000"/>
          <w:sz w:val="32"/>
          <w:szCs w:val="32"/>
        </w:rPr>
      </w:pPr>
      <w:r>
        <w:rPr>
          <w:rFonts w:ascii="Times New Roman" w:hAnsi="Times New Roman" w:cs="Times New Roman"/>
          <w:color w:val="000000"/>
          <w:sz w:val="32"/>
          <w:szCs w:val="32"/>
        </w:rPr>
        <w:t>7</w:t>
      </w:r>
      <w:r>
        <w:rPr>
          <w:rFonts w:hint="eastAsia"/>
          <w:color w:val="000000"/>
          <w:sz w:val="32"/>
          <w:szCs w:val="32"/>
        </w:rPr>
        <w:t>、对授权包头市国资委监管的本级国有及国有控股、参股企业的国有资产的产权变更处置等依法进行监督管理。</w:t>
      </w:r>
    </w:p>
    <w:p>
      <w:pPr>
        <w:autoSpaceDE w:val="0"/>
        <w:adjustRightInd w:val="0"/>
        <w:spacing w:before="100" w:beforeAutospacing="1" w:after="100" w:afterAutospacing="1" w:line="560" w:lineRule="exact"/>
        <w:ind w:firstLine="640" w:firstLineChars="200"/>
        <w:jc w:val="both"/>
        <w:rPr>
          <w:rFonts w:ascii="Times New Roman" w:hAnsi="Times New Roman" w:cs="Times New Roman"/>
          <w:color w:val="000000"/>
          <w:sz w:val="32"/>
          <w:szCs w:val="32"/>
        </w:rPr>
      </w:pPr>
      <w:r>
        <w:rPr>
          <w:rFonts w:ascii="Times New Roman" w:hAnsi="Times New Roman" w:cs="Times New Roman"/>
          <w:color w:val="000000"/>
          <w:sz w:val="32"/>
          <w:szCs w:val="32"/>
        </w:rPr>
        <w:t>8</w:t>
      </w:r>
      <w:r>
        <w:rPr>
          <w:rFonts w:hint="eastAsia"/>
          <w:color w:val="000000"/>
          <w:sz w:val="32"/>
          <w:szCs w:val="32"/>
        </w:rPr>
        <w:t>、按照出资人职责，负责督促检查所监管企业贯彻落实国家、自治区和包头市关于安全生产、应急管理、节能减排和环境保护等方面的法律法规、方针政策及标准等工作。</w:t>
      </w:r>
    </w:p>
    <w:p>
      <w:pPr>
        <w:autoSpaceDE w:val="0"/>
        <w:adjustRightInd w:val="0"/>
        <w:spacing w:before="100" w:beforeAutospacing="1" w:after="100" w:afterAutospacing="1" w:line="560" w:lineRule="exact"/>
        <w:ind w:firstLine="640" w:firstLineChars="200"/>
        <w:jc w:val="both"/>
        <w:rPr>
          <w:rFonts w:ascii="Times New Roman" w:hAnsi="Times New Roman" w:cs="Times New Roman"/>
          <w:color w:val="000000"/>
          <w:sz w:val="32"/>
          <w:szCs w:val="32"/>
        </w:rPr>
      </w:pPr>
      <w:r>
        <w:rPr>
          <w:rFonts w:ascii="Times New Roman" w:hAnsi="Times New Roman" w:cs="Times New Roman"/>
          <w:color w:val="000000"/>
          <w:sz w:val="32"/>
          <w:szCs w:val="32"/>
        </w:rPr>
        <w:t>9</w:t>
      </w:r>
      <w:r>
        <w:rPr>
          <w:rFonts w:hint="eastAsia"/>
          <w:color w:val="000000"/>
          <w:sz w:val="32"/>
          <w:szCs w:val="32"/>
        </w:rPr>
        <w:t>、负责企业国有资产基础管理，起草包头市国有资产监督管理的地方性法规规章草案，制定有关规章制度。</w:t>
      </w:r>
    </w:p>
    <w:p>
      <w:pPr>
        <w:autoSpaceDE w:val="0"/>
        <w:adjustRightInd w:val="0"/>
        <w:spacing w:before="100" w:beforeAutospacing="1" w:after="100" w:afterAutospacing="1" w:line="560" w:lineRule="exact"/>
        <w:ind w:firstLine="640" w:firstLineChars="200"/>
        <w:jc w:val="both"/>
        <w:rPr>
          <w:rFonts w:ascii="Times New Roman" w:hAnsi="Times New Roman" w:cs="Times New Roman"/>
          <w:color w:val="000000"/>
          <w:sz w:val="32"/>
          <w:szCs w:val="32"/>
        </w:rPr>
      </w:pPr>
      <w:r>
        <w:rPr>
          <w:rFonts w:ascii="Times New Roman" w:hAnsi="Times New Roman" w:cs="Times New Roman"/>
          <w:color w:val="000000"/>
          <w:sz w:val="32"/>
          <w:szCs w:val="32"/>
        </w:rPr>
        <w:t>10</w:t>
      </w:r>
      <w:r>
        <w:rPr>
          <w:rFonts w:hint="eastAsia"/>
          <w:color w:val="000000"/>
          <w:sz w:val="32"/>
          <w:szCs w:val="32"/>
        </w:rPr>
        <w:t>、负责协调所监管企业信访和维护稳定方面的工作。</w:t>
      </w:r>
    </w:p>
    <w:p>
      <w:pPr>
        <w:autoSpaceDE w:val="0"/>
        <w:adjustRightInd w:val="0"/>
        <w:spacing w:before="100" w:beforeAutospacing="1" w:after="100" w:afterAutospacing="1" w:line="560" w:lineRule="exact"/>
        <w:ind w:firstLine="640" w:firstLineChars="200"/>
        <w:jc w:val="both"/>
        <w:rPr>
          <w:rFonts w:ascii="Times New Roman" w:hAnsi="Times New Roman" w:cs="Times New Roman"/>
          <w:color w:val="000000"/>
          <w:sz w:val="32"/>
          <w:szCs w:val="32"/>
        </w:rPr>
      </w:pPr>
      <w:r>
        <w:rPr>
          <w:rFonts w:ascii="Times New Roman" w:hAnsi="Times New Roman" w:cs="Times New Roman"/>
          <w:color w:val="000000"/>
          <w:sz w:val="32"/>
          <w:szCs w:val="32"/>
        </w:rPr>
        <w:t>11</w:t>
      </w:r>
      <w:r>
        <w:rPr>
          <w:rFonts w:hint="eastAsia"/>
          <w:color w:val="000000"/>
          <w:sz w:val="32"/>
          <w:szCs w:val="32"/>
        </w:rPr>
        <w:t>、承担中共包头市委员会企业工作委员会的职责；负责所监管企业经营管理人才队伍建设工作。</w:t>
      </w:r>
    </w:p>
    <w:p>
      <w:pPr>
        <w:autoSpaceDE w:val="0"/>
        <w:adjustRightInd w:val="0"/>
        <w:spacing w:before="100" w:beforeAutospacing="1" w:after="100" w:afterAutospacing="1" w:line="560" w:lineRule="exact"/>
        <w:ind w:firstLine="640" w:firstLineChars="200"/>
        <w:jc w:val="both"/>
        <w:rPr>
          <w:rFonts w:ascii="Times New Roman" w:hAnsi="Times New Roman" w:cs="Times New Roman"/>
          <w:color w:val="000000"/>
          <w:sz w:val="32"/>
          <w:szCs w:val="32"/>
        </w:rPr>
      </w:pPr>
      <w:r>
        <w:rPr>
          <w:rFonts w:ascii="Times New Roman" w:hAnsi="Times New Roman" w:cs="Times New Roman"/>
          <w:color w:val="000000"/>
          <w:sz w:val="32"/>
          <w:szCs w:val="32"/>
        </w:rPr>
        <w:t>12</w:t>
      </w:r>
      <w:r>
        <w:rPr>
          <w:rFonts w:hint="eastAsia"/>
          <w:color w:val="000000"/>
          <w:sz w:val="32"/>
          <w:szCs w:val="32"/>
        </w:rPr>
        <w:t>、加强对国有资产运营公司的指导监督。</w:t>
      </w:r>
    </w:p>
    <w:p>
      <w:pPr>
        <w:autoSpaceDE w:val="0"/>
        <w:adjustRightInd w:val="0"/>
        <w:spacing w:before="100" w:beforeAutospacing="1" w:after="100" w:afterAutospacing="1" w:line="560" w:lineRule="exact"/>
        <w:ind w:firstLine="640" w:firstLineChars="200"/>
        <w:jc w:val="both"/>
        <w:rPr>
          <w:rFonts w:ascii="Times New Roman" w:hAnsi="Times New Roman" w:cs="Times New Roman"/>
          <w:sz w:val="32"/>
          <w:szCs w:val="32"/>
        </w:rPr>
      </w:pPr>
      <w:r>
        <w:rPr>
          <w:rFonts w:ascii="Times New Roman" w:hAnsi="Times New Roman" w:cs="Times New Roman"/>
          <w:color w:val="000000"/>
          <w:sz w:val="32"/>
          <w:szCs w:val="32"/>
        </w:rPr>
        <w:t>13</w:t>
      </w:r>
      <w:r>
        <w:rPr>
          <w:rFonts w:hint="eastAsia"/>
          <w:color w:val="000000"/>
          <w:sz w:val="32"/>
          <w:szCs w:val="32"/>
        </w:rPr>
        <w:t>、承办包头市人民政府交办的其他事项。</w:t>
      </w:r>
    </w:p>
    <w:p>
      <w:pPr>
        <w:spacing w:before="100" w:beforeAutospacing="1" w:after="100" w:afterAutospacing="1" w:line="600" w:lineRule="atLeast"/>
        <w:ind w:left="424" w:firstLine="212"/>
        <w:jc w:val="both"/>
      </w:pPr>
      <w:r>
        <w:rPr>
          <w:rFonts w:hint="eastAsia" w:ascii="黑体" w:hAnsi="黑体" w:eastAsia="黑体"/>
          <w:b/>
          <w:bCs/>
          <w:sz w:val="32"/>
          <w:szCs w:val="32"/>
        </w:rPr>
        <w:t>二、单位机构设置及决算单位构成情况</w:t>
      </w:r>
    </w:p>
    <w:p>
      <w:pPr>
        <w:pStyle w:val="30"/>
        <w:spacing w:line="360" w:lineRule="auto"/>
        <w:ind w:left="0" w:right="0" w:firstLine="640" w:firstLineChars="200"/>
        <w:jc w:val="both"/>
        <w:rPr>
          <w:rFonts w:ascii="宋体" w:hAnsi="宋体" w:eastAsia="宋体"/>
          <w:kern w:val="2"/>
          <w:sz w:val="32"/>
          <w:szCs w:val="32"/>
        </w:rPr>
      </w:pPr>
      <w:r>
        <w:rPr>
          <w:rFonts w:hint="eastAsia" w:ascii="宋体" w:hAnsi="宋体" w:eastAsia="宋体"/>
          <w:kern w:val="2"/>
          <w:sz w:val="32"/>
          <w:szCs w:val="32"/>
        </w:rPr>
        <w:t>1.根据部门职责分工，本单位内设机构包括</w:t>
      </w:r>
      <w:r>
        <w:rPr>
          <w:rFonts w:hint="eastAsia" w:ascii="宋体" w:hAnsi="宋体" w:eastAsia="宋体"/>
          <w:sz w:val="32"/>
          <w:szCs w:val="32"/>
        </w:rPr>
        <w:t>办公室（党委办公室）、企业领导人员管理科（人事科）、规划发展科（政策法规科）、财务监管科、产权管理科、企业改革科、考核分配科、资本运营与收益管理科、党建工作科、另有市纪委派驻纪检组</w:t>
      </w:r>
      <w:r>
        <w:rPr>
          <w:rFonts w:hint="eastAsia" w:ascii="宋体" w:hAnsi="宋体" w:eastAsia="宋体"/>
          <w:kern w:val="2"/>
          <w:sz w:val="32"/>
          <w:szCs w:val="32"/>
        </w:rPr>
        <w:t>。本单位无下属单位。</w:t>
      </w:r>
    </w:p>
    <w:p>
      <w:pPr>
        <w:spacing w:line="360" w:lineRule="auto"/>
        <w:ind w:firstLine="640" w:firstLineChars="200"/>
        <w:rPr>
          <w:sz w:val="32"/>
          <w:szCs w:val="32"/>
        </w:rPr>
      </w:pPr>
      <w:r>
        <w:rPr>
          <w:rFonts w:hint="eastAsia"/>
          <w:sz w:val="32"/>
          <w:szCs w:val="32"/>
        </w:rPr>
        <w:t>2.从决算单位构成看，纳入本单位2022年度部门汇总决算编制范围的预算单位共计1家，具体包括：</w:t>
      </w:r>
      <w:r>
        <w:rPr>
          <w:rFonts w:hint="eastAsia"/>
          <w:sz w:val="32"/>
          <w:szCs w:val="32"/>
          <w:lang w:eastAsia="zh-CN"/>
        </w:rPr>
        <w:t>包头市人民政府国有资产监督管理委员会（部门）</w:t>
      </w:r>
      <w:r>
        <w:rPr>
          <w:rFonts w:hint="eastAsia"/>
          <w:sz w:val="32"/>
          <w:szCs w:val="32"/>
        </w:rPr>
        <w:t>。详细情况见表：</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3903"/>
        <w:gridCol w:w="3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tcBorders>
              <w:top w:val="single" w:color="auto" w:sz="4" w:space="0"/>
              <w:left w:val="single" w:color="auto" w:sz="4" w:space="0"/>
              <w:bottom w:val="single" w:color="auto" w:sz="4" w:space="0"/>
              <w:right w:val="single" w:color="auto" w:sz="4" w:space="0"/>
            </w:tcBorders>
          </w:tcPr>
          <w:p>
            <w:pPr>
              <w:pStyle w:val="14"/>
              <w:widowControl/>
              <w:ind w:left="0" w:leftChars="0" w:firstLine="0"/>
              <w:jc w:val="left"/>
              <w:rPr>
                <w:rFonts w:ascii="Times New Roman" w:cs="Times New Roman"/>
                <w:sz w:val="32"/>
                <w:szCs w:val="32"/>
              </w:rPr>
            </w:pPr>
            <w:r>
              <w:rPr>
                <w:rFonts w:hint="eastAsia" w:cs="Times New Roman"/>
                <w:sz w:val="32"/>
                <w:szCs w:val="32"/>
              </w:rPr>
              <w:t>序号</w:t>
            </w:r>
          </w:p>
        </w:tc>
        <w:tc>
          <w:tcPr>
            <w:tcW w:w="2288" w:type="pct"/>
            <w:tcBorders>
              <w:top w:val="single" w:color="auto" w:sz="4" w:space="0"/>
              <w:left w:val="nil"/>
              <w:bottom w:val="single" w:color="auto" w:sz="4" w:space="0"/>
              <w:right w:val="single" w:color="auto" w:sz="4" w:space="0"/>
            </w:tcBorders>
          </w:tcPr>
          <w:p>
            <w:pPr>
              <w:pStyle w:val="14"/>
              <w:widowControl/>
              <w:ind w:left="0" w:leftChars="0" w:firstLine="0"/>
              <w:jc w:val="left"/>
              <w:rPr>
                <w:rFonts w:ascii="Times New Roman" w:cs="Times New Roman"/>
                <w:sz w:val="32"/>
                <w:szCs w:val="32"/>
              </w:rPr>
            </w:pPr>
            <w:r>
              <w:rPr>
                <w:rFonts w:hint="eastAsia" w:cs="Times New Roman"/>
                <w:sz w:val="32"/>
                <w:szCs w:val="32"/>
              </w:rPr>
              <w:t>单位名称</w:t>
            </w:r>
          </w:p>
        </w:tc>
        <w:tc>
          <w:tcPr>
            <w:tcW w:w="2288" w:type="pct"/>
            <w:tcBorders>
              <w:top w:val="single" w:color="auto" w:sz="4" w:space="0"/>
              <w:left w:val="nil"/>
              <w:bottom w:val="single" w:color="auto" w:sz="4" w:space="0"/>
              <w:right w:val="single" w:color="auto" w:sz="4" w:space="0"/>
            </w:tcBorders>
          </w:tcPr>
          <w:p>
            <w:pPr>
              <w:pStyle w:val="14"/>
              <w:widowControl/>
              <w:ind w:left="0" w:leftChars="0" w:firstLine="0"/>
              <w:jc w:val="left"/>
              <w:rPr>
                <w:rFonts w:cs="Times New Roman"/>
                <w:sz w:val="32"/>
                <w:szCs w:val="32"/>
              </w:rPr>
            </w:pPr>
            <w:r>
              <w:rPr>
                <w:rFonts w:hint="eastAsia" w:cs="Times New Roman"/>
                <w:sz w:val="32"/>
                <w:szCs w:val="32"/>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423" w:type="pct"/>
            <w:tcBorders>
              <w:top w:val="single" w:color="auto" w:sz="4" w:space="0"/>
              <w:left w:val="single" w:color="auto" w:sz="4" w:space="0"/>
              <w:bottom w:val="single" w:color="auto" w:sz="4" w:space="0"/>
              <w:right w:val="single" w:color="auto" w:sz="4" w:space="0"/>
            </w:tcBorders>
          </w:tcPr>
          <w:p>
            <w:pPr>
              <w:pStyle w:val="14"/>
              <w:widowControl/>
              <w:ind w:left="0" w:leftChars="0" w:firstLine="0"/>
              <w:jc w:val="left"/>
              <w:rPr>
                <w:rFonts w:ascii="Times New Roman" w:cs="Times New Roman"/>
                <w:sz w:val="32"/>
                <w:szCs w:val="32"/>
              </w:rPr>
            </w:pPr>
            <w:r>
              <w:rPr>
                <w:rFonts w:ascii="Times New Roman" w:hAnsi="Times New Roman" w:cs="Times New Roman"/>
                <w:sz w:val="32"/>
                <w:szCs w:val="32"/>
              </w:rPr>
              <w:t>1</w:t>
            </w:r>
          </w:p>
        </w:tc>
        <w:tc>
          <w:tcPr>
            <w:tcW w:w="2288" w:type="pct"/>
            <w:tcBorders>
              <w:top w:val="single" w:color="auto" w:sz="4" w:space="0"/>
              <w:left w:val="nil"/>
              <w:bottom w:val="single" w:color="auto" w:sz="4" w:space="0"/>
              <w:right w:val="single" w:color="auto" w:sz="4" w:space="0"/>
            </w:tcBorders>
          </w:tcPr>
          <w:p>
            <w:pPr>
              <w:pStyle w:val="14"/>
              <w:widowControl/>
              <w:ind w:left="0" w:leftChars="0" w:firstLine="0"/>
              <w:jc w:val="left"/>
              <w:rPr>
                <w:rFonts w:ascii="Times New Roman" w:cs="Times New Roman"/>
                <w:sz w:val="32"/>
                <w:szCs w:val="32"/>
              </w:rPr>
            </w:pPr>
            <w:r>
              <w:rPr>
                <w:rFonts w:hint="eastAsia" w:cs="Times New Roman"/>
                <w:sz w:val="32"/>
                <w:szCs w:val="32"/>
              </w:rPr>
              <w:t>包头市人民政府国有资产监督管理委员会部门（本级）</w:t>
            </w:r>
          </w:p>
        </w:tc>
        <w:tc>
          <w:tcPr>
            <w:tcW w:w="2288" w:type="pct"/>
            <w:tcBorders>
              <w:top w:val="single" w:color="auto" w:sz="4" w:space="0"/>
              <w:left w:val="nil"/>
              <w:bottom w:val="single" w:color="auto" w:sz="4" w:space="0"/>
              <w:right w:val="single" w:color="auto" w:sz="4" w:space="0"/>
            </w:tcBorders>
          </w:tcPr>
          <w:p>
            <w:pPr>
              <w:pStyle w:val="14"/>
              <w:widowControl/>
              <w:ind w:left="0" w:leftChars="0" w:firstLine="0"/>
              <w:jc w:val="left"/>
              <w:rPr>
                <w:rFonts w:cs="Times New Roman"/>
                <w:sz w:val="32"/>
                <w:szCs w:val="32"/>
                <w:highlight w:val="yellow"/>
              </w:rPr>
            </w:pPr>
            <w:r>
              <w:rPr>
                <w:rFonts w:hint="eastAsia"/>
                <w:color w:val="000000"/>
                <w:sz w:val="31"/>
                <w:szCs w:val="31"/>
              </w:rPr>
              <w:t>财政拨款的行政单位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423" w:type="pct"/>
            <w:tcBorders>
              <w:top w:val="single" w:color="auto" w:sz="4" w:space="0"/>
              <w:left w:val="single" w:color="auto" w:sz="4" w:space="0"/>
              <w:bottom w:val="single" w:color="auto" w:sz="4" w:space="0"/>
              <w:right w:val="single" w:color="auto" w:sz="4" w:space="0"/>
            </w:tcBorders>
          </w:tcPr>
          <w:p>
            <w:pPr>
              <w:pStyle w:val="14"/>
              <w:widowControl w:val="0"/>
              <w:ind w:left="0" w:leftChars="0" w:firstLine="0"/>
              <w:jc w:val="both"/>
              <w:rPr>
                <w:rFonts w:ascii="Times New Roman" w:hAnsi="Times New Roman" w:cs="Times New Roman"/>
                <w:sz w:val="32"/>
                <w:szCs w:val="32"/>
              </w:rPr>
            </w:pPr>
            <w:r>
              <w:rPr>
                <w:rFonts w:hint="eastAsia" w:ascii="Times New Roman" w:hAnsi="Times New Roman" w:cs="Times New Roman"/>
                <w:sz w:val="32"/>
                <w:szCs w:val="32"/>
              </w:rPr>
              <w:t>2</w:t>
            </w:r>
          </w:p>
        </w:tc>
        <w:tc>
          <w:tcPr>
            <w:tcW w:w="2288" w:type="pct"/>
            <w:tcBorders>
              <w:top w:val="single" w:color="auto" w:sz="4" w:space="0"/>
              <w:left w:val="nil"/>
              <w:bottom w:val="single" w:color="auto" w:sz="4" w:space="0"/>
              <w:right w:val="single" w:color="auto" w:sz="4" w:space="0"/>
            </w:tcBorders>
          </w:tcPr>
          <w:p>
            <w:pPr>
              <w:widowControl/>
              <w:spacing w:before="100" w:beforeAutospacing="1" w:after="100" w:afterAutospacing="1"/>
              <w:jc w:val="both"/>
            </w:pPr>
            <w:r>
              <w:rPr>
                <w:rFonts w:hint="eastAsia"/>
                <w:sz w:val="32"/>
                <w:szCs w:val="32"/>
              </w:rPr>
              <w:t>包头市国资国企改革发展促进中心</w:t>
            </w:r>
          </w:p>
        </w:tc>
        <w:tc>
          <w:tcPr>
            <w:tcW w:w="2288" w:type="pct"/>
            <w:tcBorders>
              <w:top w:val="single" w:color="auto" w:sz="4" w:space="0"/>
              <w:left w:val="nil"/>
              <w:bottom w:val="single" w:color="auto" w:sz="4" w:space="0"/>
              <w:right w:val="single" w:color="auto" w:sz="4" w:space="0"/>
            </w:tcBorders>
          </w:tcPr>
          <w:p>
            <w:pPr>
              <w:widowControl/>
              <w:spacing w:before="100" w:beforeAutospacing="1" w:after="100" w:afterAutospacing="1"/>
              <w:jc w:val="both"/>
            </w:pPr>
            <w:r>
              <w:rPr>
                <w:rFonts w:hint="eastAsia"/>
                <w:color w:val="000000"/>
                <w:sz w:val="31"/>
                <w:szCs w:val="31"/>
              </w:rPr>
              <w:t>公益一类事业单位</w:t>
            </w:r>
          </w:p>
        </w:tc>
      </w:tr>
    </w:tbl>
    <w:p>
      <w:pPr>
        <w:spacing w:before="100" w:beforeAutospacing="1" w:after="100" w:afterAutospacing="1" w:line="600" w:lineRule="atLeast"/>
        <w:jc w:val="both"/>
        <w:rPr>
          <w:rFonts w:ascii="黑体" w:hAnsi="黑体" w:eastAsia="黑体"/>
          <w:b/>
          <w:bCs/>
          <w:sz w:val="32"/>
          <w:szCs w:val="32"/>
        </w:rPr>
      </w:pPr>
    </w:p>
    <w:p>
      <w:pPr>
        <w:spacing w:before="100" w:beforeAutospacing="1" w:after="100" w:afterAutospacing="1" w:line="600" w:lineRule="atLeast"/>
        <w:ind w:firstLine="643"/>
        <w:jc w:val="both"/>
      </w:pPr>
      <w:r>
        <w:rPr>
          <w:rFonts w:hint="eastAsia" w:ascii="黑体" w:hAnsi="黑体" w:eastAsia="黑体"/>
          <w:b/>
          <w:bCs/>
          <w:sz w:val="32"/>
          <w:szCs w:val="32"/>
        </w:rPr>
        <w:t>三、</w:t>
      </w:r>
      <w:r>
        <w:rPr>
          <w:rFonts w:hint="eastAsia"/>
          <w:b/>
          <w:bCs/>
          <w:sz w:val="32"/>
          <w:szCs w:val="32"/>
        </w:rPr>
        <w:t>2022</w:t>
      </w:r>
      <w:r>
        <w:rPr>
          <w:rFonts w:hint="eastAsia" w:ascii="黑体" w:hAnsi="黑体" w:eastAsia="黑体"/>
          <w:b/>
          <w:bCs/>
          <w:sz w:val="32"/>
          <w:szCs w:val="32"/>
        </w:rPr>
        <w:t>年度单位主要工作完成情况</w:t>
      </w:r>
    </w:p>
    <w:p>
      <w:pPr>
        <w:pStyle w:val="14"/>
        <w:autoSpaceDE w:val="0"/>
        <w:spacing w:line="560" w:lineRule="exact"/>
        <w:ind w:left="0" w:leftChars="0" w:firstLine="640" w:firstLineChars="200"/>
        <w:jc w:val="both"/>
        <w:rPr>
          <w:color w:val="000000"/>
          <w:sz w:val="32"/>
          <w:szCs w:val="32"/>
        </w:rPr>
      </w:pPr>
      <w:r>
        <w:rPr>
          <w:rFonts w:hint="eastAsia"/>
          <w:sz w:val="32"/>
          <w:szCs w:val="32"/>
        </w:rPr>
        <w:t>依法对市政府授权监管企业的国有资产进行监管，依法代表市政府履行出资人职责，确保国有资产保值增值。较好的</w:t>
      </w:r>
      <w:r>
        <w:rPr>
          <w:rFonts w:hint="eastAsia"/>
          <w:color w:val="000000"/>
          <w:sz w:val="32"/>
          <w:szCs w:val="32"/>
        </w:rPr>
        <w:t>承担监督所监管企业国有资产保值增值的责任，并贯彻执行国有资产保值增值指标体系，完成制定考核标准和措施办法；通过统计、稽核对所监管企业国有资产的保值增值情况进行监管。圆满完成2022年度预决算的编制及公开工作以及2022年度决算编报和财务报告相关工作。</w:t>
      </w:r>
    </w:p>
    <w:p>
      <w:pPr>
        <w:widowControl w:val="0"/>
        <w:numPr>
          <w:ilvl w:val="0"/>
          <w:numId w:val="1"/>
        </w:numPr>
        <w:spacing w:line="600" w:lineRule="exact"/>
        <w:ind w:firstLine="640" w:firstLineChars="200"/>
        <w:outlineLvl w:val="1"/>
        <w:rPr>
          <w:rFonts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遗留问题全力化解</w:t>
      </w:r>
    </w:p>
    <w:p>
      <w:pPr>
        <w:widowControl w:val="0"/>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1.积极解决机械学校医保、社保、职业年金欠费事宜</w:t>
      </w:r>
    </w:p>
    <w:p>
      <w:pPr>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及时请示市政府、积极协调市财政局，于3月份落实机械学校医疗保险、养老保险和职业年金欠费单位应缴部分30.11万元。与医保、社保、税务部门积极沟通对接，由我中心代机械学校缴纳医保历史欠费25.94万元、养老保险单位欠缴部分1.54万元、职业年金单位欠缴部分2.63万元。同时要求机械学校收缴养老、职业年金个人欠缴部分1.93万元，并指导缴纳至指定账户，彻底解决了该单位退休人员无法报销医保及养老金发放等问题，切实消除维稳信访隐患；</w:t>
      </w:r>
    </w:p>
    <w:p>
      <w:pPr>
        <w:widowControl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2.及时落实4家单位退休人员供热补贴</w:t>
      </w:r>
    </w:p>
    <w:p>
      <w:pPr>
        <w:widowControl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核算21-22年度4家单位退休人员供热补贴22.20万元，经市财政审核于1月份下发。机械学校和塑料所因</w:t>
      </w:r>
      <w:r>
        <w:rPr>
          <w:rFonts w:hint="eastAsia" w:ascii="仿宋_GB2312" w:hAnsi="仿宋_GB2312" w:eastAsia="仿宋_GB2312" w:cs="仿宋_GB2312"/>
          <w:color w:val="000000"/>
          <w:sz w:val="32"/>
          <w:szCs w:val="32"/>
        </w:rPr>
        <w:t>事业单位法人证书未年检，原银行对公账户处于封存状态，由我中心代发至个人账户，其余两家已发放至单位对公账户；</w:t>
      </w:r>
    </w:p>
    <w:p>
      <w:pPr>
        <w:widowControl w:val="0"/>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3.认真做好4家单位离退休人员增资核发工作</w:t>
      </w:r>
    </w:p>
    <w:p>
      <w:pPr>
        <w:widowControl w:val="0"/>
        <w:spacing w:line="600" w:lineRule="exact"/>
        <w:ind w:firstLine="640" w:firstLineChars="200"/>
      </w:pPr>
      <w:r>
        <w:rPr>
          <w:rFonts w:hint="eastAsia" w:ascii="仿宋_GB2312" w:hAnsi="仿宋_GB2312" w:eastAsia="仿宋_GB2312" w:cs="仿宋_GB2312"/>
          <w:sz w:val="32"/>
          <w:szCs w:val="32"/>
        </w:rPr>
        <w:t>分三批核发4家单位离退休人员增资部分，经财政审核无误下发（机械所、化工所已拨付至两单位账户，塑料所、机械学校已由我中心代发至退休人员个人账户）；</w:t>
      </w:r>
    </w:p>
    <w:p>
      <w:pPr>
        <w:widowControl w:val="0"/>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4.申请2022年化工所、机械所社保、生活补贴</w:t>
      </w:r>
    </w:p>
    <w:p>
      <w:pPr>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向市财政局申请2022化工所、机械所2家单位在职人员的生活补贴、职业年金、社保费，共计80.69万元，目前已拨付至两家单位账户；</w:t>
      </w:r>
    </w:p>
    <w:p>
      <w:pPr>
        <w:widowControl w:val="0"/>
        <w:spacing w:line="600" w:lineRule="exact"/>
        <w:ind w:firstLine="640" w:firstLineChars="200"/>
        <w:outlineLvl w:val="1"/>
        <w:rPr>
          <w:rFonts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（二）内部管理持续规范</w:t>
      </w:r>
    </w:p>
    <w:p>
      <w:pPr>
        <w:widowControl w:val="0"/>
        <w:spacing w:line="600" w:lineRule="exact"/>
        <w:ind w:firstLine="643" w:firstLineChars="200"/>
        <w:outlineLvl w:val="2"/>
        <w:rPr>
          <w:rFonts w:ascii="仿宋_GB2312" w:hAnsi="仿宋_GB2312" w:eastAsia="仿宋_GB2312" w:cs="仿宋_GB2312"/>
          <w:b/>
          <w:bCs/>
          <w:kern w:val="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kern w:val="2"/>
          <w:sz w:val="32"/>
          <w:szCs w:val="32"/>
        </w:rPr>
        <w:t>办理6名工作人员的工资、社保、医保、公积金</w:t>
      </w:r>
    </w:p>
    <w:p>
      <w:pPr>
        <w:widowControl w:val="0"/>
        <w:spacing w:line="600" w:lineRule="exact"/>
        <w:ind w:firstLine="640" w:firstLineChars="200"/>
        <w:rPr>
          <w:rFonts w:ascii="仿宋_GB2312" w:hAnsi="仿宋_GB2312" w:eastAsia="仿宋_GB2312" w:cs="仿宋_GB2312"/>
          <w:sz w:val="32"/>
          <w:szCs w:val="32"/>
        </w:rPr>
      </w:pPr>
      <w:r>
        <w:rPr>
          <w:rFonts w:hint="eastAsia" w:ascii="CESI仿宋-GB2312" w:hAnsi="CESI仿宋-GB2312" w:eastAsia="CESI仿宋-GB2312" w:cs="CESI仿宋-GB2312"/>
          <w:sz w:val="32"/>
          <w:szCs w:val="32"/>
        </w:rPr>
        <w:t>办理调任单位负责人及新考录人员的工资转移核定，及医保、社保、公积金个人账户的开户、转移、投保；</w:t>
      </w:r>
    </w:p>
    <w:p>
      <w:pPr>
        <w:widowControl w:val="0"/>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2.完成新考录人员岗前培训工作</w:t>
      </w:r>
    </w:p>
    <w:p>
      <w:pPr>
        <w:widowControl w:val="0"/>
        <w:spacing w:line="600" w:lineRule="exact"/>
        <w:ind w:firstLine="640" w:firstLineChars="200"/>
        <w:jc w:val="both"/>
      </w:pPr>
      <w:r>
        <w:rPr>
          <w:rFonts w:hint="eastAsia" w:ascii="仿宋_GB2312" w:hAnsi="仿宋_GB2312" w:eastAsia="仿宋_GB2312" w:cs="仿宋_GB2312"/>
          <w:sz w:val="32"/>
          <w:szCs w:val="32"/>
        </w:rPr>
        <w:t>按照市委组织部、市人社局文件要求，组织我中心5名新考录人员依托互联网平台开展新进人员岗前培训工作，5月份完成培训并予报备；</w:t>
      </w:r>
    </w:p>
    <w:p>
      <w:pPr>
        <w:widowControl w:val="0"/>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3.开展事业单位法人登记相关工作</w:t>
      </w:r>
    </w:p>
    <w:p>
      <w:pPr>
        <w:widowControl w:val="0"/>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完成2021年度事业单位登记管理工作和2021年度事业单位法人年度报告公示工作，积极探索制定事业单位章程（草案）；</w:t>
      </w:r>
    </w:p>
    <w:p>
      <w:pPr>
        <w:widowControl w:val="0"/>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4.完成中心事业单位岗位设置备案</w:t>
      </w:r>
    </w:p>
    <w:p>
      <w:pPr>
        <w:widowControl w:val="0"/>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撰写《事业单位岗位设置方案备案的报告》，完成我中心专业技术和管理岗位设置，已按规定进行备案；</w:t>
      </w:r>
    </w:p>
    <w:p>
      <w:pPr>
        <w:widowControl w:val="0"/>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5.做好2021年度工作人员年度考核工作</w:t>
      </w:r>
    </w:p>
    <w:p>
      <w:pPr>
        <w:widowControl w:val="0"/>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开展我中心6名工作人员2021年度考核工作，于5月份按要求将考核报告及考核结果进行备案；</w:t>
      </w:r>
    </w:p>
    <w:p>
      <w:pPr>
        <w:widowControl w:val="0"/>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6.启动2022年市直事业单位公开招聘工作</w:t>
      </w:r>
    </w:p>
    <w:p>
      <w:pPr>
        <w:widowControl w:val="0"/>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报党委会研究，经编办批复，确定招聘人员岗位条件，按人社局统一安排启动2022年市直事业单位公开招聘工作，9月份完成报名工作；</w:t>
      </w:r>
    </w:p>
    <w:p>
      <w:pPr>
        <w:widowControl w:val="0"/>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7.加强中心财务监管</w:t>
      </w:r>
    </w:p>
    <w:p>
      <w:pPr>
        <w:widowControl w:val="0"/>
        <w:spacing w:line="600" w:lineRule="exact"/>
        <w:ind w:firstLine="640" w:firstLineChars="200"/>
        <w:rPr>
          <w:rFonts w:hint="eastAsia" w:ascii="仿宋_GB2312" w:hAnsi="仿宋_GB2312" w:cs="仿宋_GB2312" w:eastAsiaTheme="minorEastAsia"/>
          <w:b/>
          <w:bCs/>
          <w:kern w:val="2"/>
          <w:sz w:val="32"/>
          <w:szCs w:val="32"/>
        </w:rPr>
      </w:pPr>
      <w:r>
        <w:rPr>
          <w:rFonts w:hint="eastAsia" w:ascii="仿宋_GB2312" w:hAnsi="仿宋_GB2312" w:eastAsia="仿宋_GB2312" w:cs="仿宋_GB2312"/>
          <w:sz w:val="32"/>
          <w:szCs w:val="32"/>
        </w:rPr>
        <w:t>一是通过与财政局积极沟通，5万元单位开办经费已于4月份落实到位；二是制定印发《包头市国资国企改革发展促进中心财务管理制度》；三是</w:t>
      </w:r>
      <w:r>
        <w:rPr>
          <w:rFonts w:hint="eastAsia" w:ascii="仿宋_GB2312" w:hAnsi="仿宋_GB2312" w:eastAsia="仿宋_GB2312" w:cs="仿宋_GB2312"/>
          <w:color w:val="000000"/>
          <w:sz w:val="32"/>
          <w:szCs w:val="32"/>
        </w:rPr>
        <w:t>完成委机关和我中心财务统一管理，明确现有人员财务岗位职责，确保中心财务管理依规开展。</w:t>
      </w:r>
    </w:p>
    <w:p>
      <w:pPr>
        <w:pStyle w:val="3"/>
        <w:keepNext/>
        <w:spacing w:line="360" w:lineRule="auto"/>
        <w:jc w:val="center"/>
      </w:pPr>
      <w:r>
        <w:rPr>
          <w:rFonts w:hint="eastAsia" w:ascii="方正小标宋简体" w:hAnsi="方正小标宋简体"/>
        </w:rPr>
        <w:t>第二部分</w:t>
      </w:r>
      <w:r>
        <w:rPr>
          <w:rFonts w:hint="eastAsia"/>
        </w:rPr>
        <w:t xml:space="preserve"> </w:t>
      </w:r>
      <w:r>
        <w:rPr>
          <w:rFonts w:ascii="方正小标宋简体" w:hAnsi="方正小标宋简体"/>
        </w:rPr>
        <w:t xml:space="preserve"> 2022</w:t>
      </w:r>
      <w:r>
        <w:rPr>
          <w:rFonts w:hint="eastAsia" w:ascii="方正小标宋简体" w:hAnsi="方正小标宋简体"/>
        </w:rPr>
        <w:t>年度单位决算情况说明</w:t>
      </w:r>
    </w:p>
    <w:p>
      <w:pPr>
        <w:spacing w:before="100" w:beforeAutospacing="1" w:after="100" w:afterAutospacing="1" w:line="600" w:lineRule="atLeast"/>
        <w:ind w:firstLine="643"/>
        <w:jc w:val="both"/>
      </w:pPr>
      <w:r>
        <w:rPr>
          <w:rFonts w:hint="eastAsia" w:ascii="黑体" w:hAnsi="黑体" w:eastAsia="黑体"/>
          <w:b/>
          <w:bCs/>
          <w:sz w:val="32"/>
          <w:szCs w:val="32"/>
        </w:rPr>
        <w:t>一、收入支出决算总体情况说明</w:t>
      </w:r>
    </w:p>
    <w:p>
      <w:pPr>
        <w:spacing w:before="100" w:beforeAutospacing="1" w:after="100" w:afterAutospacing="1" w:line="560" w:lineRule="atLeast"/>
        <w:ind w:firstLine="640"/>
        <w:jc w:val="both"/>
      </w:pPr>
      <w:r>
        <w:rPr>
          <w:rFonts w:hint="eastAsia"/>
          <w:sz w:val="32"/>
          <w:szCs w:val="32"/>
          <w:lang w:eastAsia="zh-CN"/>
        </w:rPr>
        <w:t>包头市人民政府国有资产监督管理委员会（部门）</w:t>
      </w:r>
      <w:r>
        <w:rPr>
          <w:rFonts w:hint="eastAsia"/>
          <w:sz w:val="32"/>
          <w:szCs w:val="32"/>
        </w:rPr>
        <w:t>2022年度收入、支出决算总计</w:t>
      </w:r>
      <w:r>
        <w:rPr>
          <w:rFonts w:ascii="Times New Roman" w:hAnsi="Times New Roman" w:cs="Times New Roman"/>
          <w:sz w:val="32"/>
          <w:szCs w:val="32"/>
          <w:u w:val="single"/>
        </w:rPr>
        <w:t>38,955.83</w:t>
      </w:r>
      <w:r>
        <w:rPr>
          <w:rFonts w:hint="eastAsia"/>
          <w:sz w:val="32"/>
          <w:szCs w:val="32"/>
        </w:rPr>
        <w:t>万元。与年初预算相比，收、支总计各增加</w:t>
      </w:r>
      <w:r>
        <w:rPr>
          <w:rFonts w:ascii="Times New Roman" w:hAnsi="Times New Roman" w:cs="Times New Roman"/>
          <w:sz w:val="32"/>
          <w:szCs w:val="32"/>
          <w:u w:val="single"/>
        </w:rPr>
        <w:t>38,559.49</w:t>
      </w:r>
      <w:r>
        <w:rPr>
          <w:rFonts w:hint="eastAsia"/>
          <w:sz w:val="32"/>
          <w:szCs w:val="32"/>
        </w:rPr>
        <w:t>万元，增长</w:t>
      </w:r>
      <w:r>
        <w:rPr>
          <w:rFonts w:ascii="Times New Roman" w:hAnsi="Times New Roman" w:cs="Times New Roman"/>
          <w:sz w:val="32"/>
          <w:szCs w:val="32"/>
          <w:u w:val="single"/>
        </w:rPr>
        <w:t>9,729.10</w:t>
      </w:r>
      <w:r>
        <w:rPr>
          <w:rFonts w:hint="eastAsia"/>
          <w:sz w:val="32"/>
          <w:szCs w:val="32"/>
        </w:rPr>
        <w:t>%，变动原因：本年度增加财政专项资金拨款；与上年决算相比，收、支总计各增加</w:t>
      </w:r>
      <w:r>
        <w:rPr>
          <w:rFonts w:ascii="Times New Roman" w:hAnsi="Times New Roman" w:cs="Times New Roman"/>
          <w:sz w:val="32"/>
          <w:szCs w:val="32"/>
          <w:u w:val="single"/>
        </w:rPr>
        <w:t>37,461.36</w:t>
      </w:r>
      <w:r>
        <w:rPr>
          <w:rFonts w:hint="eastAsia"/>
          <w:sz w:val="32"/>
          <w:szCs w:val="32"/>
        </w:rPr>
        <w:t>万元，增长</w:t>
      </w:r>
      <w:r>
        <w:rPr>
          <w:rFonts w:ascii="Times New Roman" w:hAnsi="Times New Roman" w:cs="Times New Roman"/>
          <w:sz w:val="32"/>
          <w:szCs w:val="32"/>
          <w:u w:val="single"/>
        </w:rPr>
        <w:t>2,506.67</w:t>
      </w:r>
      <w:r>
        <w:rPr>
          <w:rFonts w:hint="eastAsia"/>
          <w:sz w:val="32"/>
          <w:szCs w:val="32"/>
        </w:rPr>
        <w:t>%。其中：</w:t>
      </w:r>
    </w:p>
    <w:p>
      <w:pPr>
        <w:spacing w:before="100" w:beforeAutospacing="1" w:after="100" w:afterAutospacing="1" w:line="560" w:lineRule="atLeast"/>
        <w:ind w:firstLine="643"/>
        <w:jc w:val="both"/>
      </w:pPr>
      <w:r>
        <w:rPr>
          <w:rFonts w:hint="eastAsia" w:ascii="楷体" w:hAnsi="楷体" w:eastAsia="楷体"/>
          <w:b/>
          <w:bCs/>
          <w:sz w:val="32"/>
          <w:szCs w:val="32"/>
        </w:rPr>
        <w:t>（一）收入决算总计</w:t>
      </w:r>
      <w:r>
        <w:rPr>
          <w:rFonts w:ascii="Times New Roman" w:hAnsi="Times New Roman" w:cs="Times New Roman"/>
          <w:sz w:val="32"/>
          <w:szCs w:val="32"/>
          <w:u w:val="single"/>
        </w:rPr>
        <w:t>38,955.83</w:t>
      </w:r>
      <w:r>
        <w:rPr>
          <w:rFonts w:hint="eastAsia" w:ascii="楷体" w:hAnsi="楷体" w:eastAsia="楷体"/>
          <w:b/>
          <w:bCs/>
          <w:sz w:val="32"/>
          <w:szCs w:val="32"/>
        </w:rPr>
        <w:t>万元。包括：</w:t>
      </w:r>
    </w:p>
    <w:p>
      <w:pPr>
        <w:spacing w:before="100" w:beforeAutospacing="1" w:after="100" w:afterAutospacing="1" w:line="560" w:lineRule="atLeast"/>
        <w:ind w:firstLine="640"/>
        <w:jc w:val="both"/>
      </w:pPr>
      <w:r>
        <w:rPr>
          <w:rFonts w:ascii="Times New Roman" w:hAnsi="Times New Roman" w:cs="Times New Roman"/>
          <w:sz w:val="32"/>
          <w:szCs w:val="32"/>
        </w:rPr>
        <w:t>1.</w:t>
      </w:r>
      <w:r>
        <w:rPr>
          <w:rFonts w:hint="eastAsia"/>
          <w:sz w:val="32"/>
          <w:szCs w:val="32"/>
        </w:rPr>
        <w:t>本年收入决算合计</w:t>
      </w:r>
      <w:r>
        <w:rPr>
          <w:rFonts w:ascii="Times New Roman" w:hAnsi="Times New Roman" w:cs="Times New Roman"/>
          <w:sz w:val="32"/>
          <w:szCs w:val="32"/>
          <w:u w:val="single"/>
        </w:rPr>
        <w:t>38,953.56</w:t>
      </w:r>
      <w:r>
        <w:rPr>
          <w:rFonts w:hint="eastAsia"/>
          <w:sz w:val="32"/>
          <w:szCs w:val="32"/>
        </w:rPr>
        <w:t>万元。与上年决算相比，增加</w:t>
      </w:r>
      <w:r>
        <w:rPr>
          <w:rFonts w:ascii="Times New Roman" w:hAnsi="Times New Roman" w:cs="Times New Roman"/>
          <w:sz w:val="32"/>
          <w:szCs w:val="32"/>
          <w:u w:val="single"/>
        </w:rPr>
        <w:t>37,520.65</w:t>
      </w:r>
      <w:r>
        <w:rPr>
          <w:rFonts w:hint="eastAsia"/>
          <w:sz w:val="32"/>
          <w:szCs w:val="32"/>
        </w:rPr>
        <w:t>万元，增长</w:t>
      </w:r>
      <w:r>
        <w:rPr>
          <w:rFonts w:ascii="Times New Roman" w:hAnsi="Times New Roman" w:cs="Times New Roman"/>
          <w:sz w:val="32"/>
          <w:szCs w:val="32"/>
          <w:u w:val="single"/>
        </w:rPr>
        <w:t>2,618.49</w:t>
      </w:r>
      <w:r>
        <w:rPr>
          <w:rFonts w:hint="eastAsia"/>
          <w:sz w:val="32"/>
          <w:szCs w:val="32"/>
        </w:rPr>
        <w:t>%，变动原因：本年度增加财政专项资金拨款。</w:t>
      </w:r>
    </w:p>
    <w:p>
      <w:pPr>
        <w:spacing w:before="100" w:beforeAutospacing="1" w:after="100" w:afterAutospacing="1" w:line="560" w:lineRule="atLeast"/>
        <w:ind w:firstLine="640"/>
        <w:jc w:val="both"/>
        <w:rPr>
          <w:highlight w:val="yellow"/>
        </w:rPr>
      </w:pPr>
      <w:r>
        <w:rPr>
          <w:rFonts w:ascii="Times New Roman" w:hAnsi="Times New Roman" w:cs="Times New Roman"/>
          <w:sz w:val="32"/>
          <w:szCs w:val="32"/>
        </w:rPr>
        <w:t>2.</w:t>
      </w:r>
      <w:r>
        <w:rPr>
          <w:rFonts w:hint="eastAsia"/>
          <w:sz w:val="32"/>
          <w:szCs w:val="32"/>
        </w:rPr>
        <w:t>使用非财政拨款结余</w:t>
      </w:r>
      <w:r>
        <w:rPr>
          <w:rFonts w:ascii="Times New Roman" w:hAnsi="Times New Roman" w:cs="Times New Roman"/>
          <w:sz w:val="32"/>
          <w:szCs w:val="32"/>
          <w:u w:val="single"/>
        </w:rPr>
        <w:t>0.00</w:t>
      </w:r>
      <w:r>
        <w:rPr>
          <w:rFonts w:hint="eastAsia"/>
          <w:sz w:val="32"/>
          <w:szCs w:val="32"/>
        </w:rPr>
        <w:t>万元。与上年决算相比，减少</w:t>
      </w:r>
      <w:r>
        <w:rPr>
          <w:rFonts w:ascii="Times New Roman" w:hAnsi="Times New Roman" w:cs="Times New Roman"/>
          <w:sz w:val="32"/>
          <w:szCs w:val="32"/>
          <w:u w:val="single"/>
        </w:rPr>
        <w:t xml:space="preserve">  0</w:t>
      </w:r>
      <w:r>
        <w:rPr>
          <w:rFonts w:hint="eastAsia"/>
          <w:sz w:val="32"/>
          <w:szCs w:val="32"/>
        </w:rPr>
        <w:t>万元，减少0%。</w:t>
      </w:r>
      <w:r>
        <w:rPr>
          <w:rFonts w:hint="eastAsia" w:cs="仿宋_GB2312"/>
          <w:kern w:val="2"/>
          <w:sz w:val="32"/>
          <w:szCs w:val="32"/>
        </w:rPr>
        <w:t>变动原因：本单位不涉及。</w:t>
      </w:r>
    </w:p>
    <w:p>
      <w:pPr>
        <w:spacing w:before="100" w:beforeAutospacing="1" w:after="100" w:afterAutospacing="1" w:line="560" w:lineRule="atLeast"/>
        <w:ind w:firstLine="640"/>
        <w:jc w:val="both"/>
      </w:pPr>
      <w:r>
        <w:rPr>
          <w:rFonts w:ascii="Times New Roman" w:hAnsi="Times New Roman" w:cs="Times New Roman"/>
          <w:sz w:val="32"/>
          <w:szCs w:val="32"/>
        </w:rPr>
        <w:t>3.</w:t>
      </w:r>
      <w:r>
        <w:rPr>
          <w:rFonts w:hint="eastAsia"/>
          <w:sz w:val="32"/>
          <w:szCs w:val="32"/>
        </w:rPr>
        <w:t>年初结转和结余</w:t>
      </w:r>
      <w:r>
        <w:rPr>
          <w:rFonts w:ascii="Times New Roman" w:hAnsi="Times New Roman" w:cs="Times New Roman"/>
          <w:sz w:val="32"/>
          <w:szCs w:val="32"/>
          <w:u w:val="single"/>
        </w:rPr>
        <w:t>2.27</w:t>
      </w:r>
      <w:r>
        <w:rPr>
          <w:rFonts w:hint="eastAsia"/>
          <w:sz w:val="32"/>
          <w:szCs w:val="32"/>
        </w:rPr>
        <w:t>万元。与上年决算相比，减少</w:t>
      </w:r>
      <w:r>
        <w:rPr>
          <w:rFonts w:ascii="Times New Roman" w:hAnsi="Times New Roman" w:cs="Times New Roman"/>
          <w:sz w:val="32"/>
          <w:szCs w:val="32"/>
          <w:u w:val="single"/>
        </w:rPr>
        <w:t>59.29</w:t>
      </w:r>
      <w:r>
        <w:rPr>
          <w:rFonts w:hint="eastAsia"/>
          <w:sz w:val="32"/>
          <w:szCs w:val="32"/>
        </w:rPr>
        <w:t>万元，减少</w:t>
      </w:r>
      <w:r>
        <w:rPr>
          <w:rFonts w:ascii="Times New Roman" w:hAnsi="Times New Roman" w:cs="Times New Roman"/>
          <w:sz w:val="32"/>
          <w:szCs w:val="32"/>
          <w:u w:val="single"/>
        </w:rPr>
        <w:t>96.31</w:t>
      </w:r>
      <w:r>
        <w:rPr>
          <w:rFonts w:hint="eastAsia"/>
          <w:sz w:val="32"/>
          <w:szCs w:val="32"/>
        </w:rPr>
        <w:t>%，变动原因：2022年末账务调账结余。</w:t>
      </w:r>
    </w:p>
    <w:p>
      <w:pPr>
        <w:spacing w:before="100" w:beforeAutospacing="1" w:after="100" w:afterAutospacing="1" w:line="560" w:lineRule="atLeast"/>
        <w:ind w:firstLine="643"/>
        <w:jc w:val="both"/>
      </w:pPr>
      <w:r>
        <w:rPr>
          <w:rFonts w:hint="eastAsia" w:ascii="楷体" w:hAnsi="楷体" w:eastAsia="楷体"/>
          <w:b/>
          <w:bCs/>
          <w:sz w:val="32"/>
          <w:szCs w:val="32"/>
        </w:rPr>
        <w:t>（二）支出决算总计</w:t>
      </w:r>
      <w:r>
        <w:rPr>
          <w:rFonts w:ascii="Times New Roman" w:hAnsi="Times New Roman" w:cs="Times New Roman"/>
          <w:sz w:val="32"/>
          <w:szCs w:val="32"/>
          <w:u w:val="single"/>
        </w:rPr>
        <w:t>38,955.83</w:t>
      </w:r>
      <w:r>
        <w:rPr>
          <w:rFonts w:hint="eastAsia" w:ascii="楷体" w:hAnsi="楷体" w:eastAsia="楷体"/>
          <w:b/>
          <w:bCs/>
          <w:sz w:val="32"/>
          <w:szCs w:val="32"/>
        </w:rPr>
        <w:t>万元。包括：</w:t>
      </w:r>
    </w:p>
    <w:p>
      <w:pPr>
        <w:spacing w:before="100" w:beforeAutospacing="1" w:after="100" w:afterAutospacing="1" w:line="560" w:lineRule="atLeast"/>
        <w:ind w:firstLine="640"/>
        <w:jc w:val="both"/>
      </w:pPr>
      <w:r>
        <w:rPr>
          <w:rFonts w:ascii="Times New Roman" w:hAnsi="Times New Roman" w:cs="Times New Roman"/>
          <w:sz w:val="32"/>
          <w:szCs w:val="32"/>
        </w:rPr>
        <w:t>1.</w:t>
      </w:r>
      <w:r>
        <w:rPr>
          <w:rFonts w:hint="eastAsia"/>
          <w:sz w:val="32"/>
          <w:szCs w:val="32"/>
        </w:rPr>
        <w:t>本年支出决算合计</w:t>
      </w:r>
      <w:r>
        <w:rPr>
          <w:rFonts w:ascii="Times New Roman" w:hAnsi="Times New Roman" w:cs="Times New Roman"/>
          <w:sz w:val="32"/>
          <w:szCs w:val="32"/>
          <w:u w:val="single"/>
        </w:rPr>
        <w:t>38,955.83</w:t>
      </w:r>
      <w:r>
        <w:rPr>
          <w:rFonts w:hint="eastAsia"/>
          <w:sz w:val="32"/>
          <w:szCs w:val="32"/>
        </w:rPr>
        <w:t>万元。与上年决算相比，增加</w:t>
      </w:r>
      <w:r>
        <w:rPr>
          <w:rFonts w:ascii="Times New Roman" w:hAnsi="Times New Roman" w:cs="Times New Roman"/>
          <w:sz w:val="32"/>
          <w:szCs w:val="32"/>
          <w:u w:val="single"/>
        </w:rPr>
        <w:t>37,479.13</w:t>
      </w:r>
      <w:r>
        <w:rPr>
          <w:rFonts w:hint="eastAsia"/>
          <w:sz w:val="32"/>
          <w:szCs w:val="32"/>
        </w:rPr>
        <w:t>万元，增长</w:t>
      </w:r>
      <w:r>
        <w:rPr>
          <w:rFonts w:ascii="Times New Roman" w:hAnsi="Times New Roman" w:cs="Times New Roman"/>
          <w:sz w:val="32"/>
          <w:szCs w:val="32"/>
          <w:u w:val="single"/>
        </w:rPr>
        <w:t>2,538.04</w:t>
      </w:r>
      <w:r>
        <w:rPr>
          <w:rFonts w:hint="eastAsia"/>
          <w:sz w:val="32"/>
          <w:szCs w:val="32"/>
        </w:rPr>
        <w:t>%，变动原因：本年度增加财政专项资金拨款。</w:t>
      </w:r>
    </w:p>
    <w:p>
      <w:pPr>
        <w:spacing w:before="100" w:beforeAutospacing="1" w:after="100" w:afterAutospacing="1" w:line="560" w:lineRule="atLeast"/>
        <w:ind w:firstLine="640"/>
        <w:jc w:val="both"/>
        <w:rPr>
          <w:sz w:val="32"/>
          <w:szCs w:val="32"/>
        </w:rPr>
      </w:pPr>
      <w:r>
        <w:rPr>
          <w:rFonts w:ascii="Times New Roman" w:hAnsi="Times New Roman" w:cs="Times New Roman"/>
          <w:sz w:val="32"/>
          <w:szCs w:val="32"/>
        </w:rPr>
        <w:t>2.</w:t>
      </w:r>
      <w:r>
        <w:rPr>
          <w:rFonts w:hint="eastAsia"/>
          <w:sz w:val="32"/>
          <w:szCs w:val="32"/>
        </w:rPr>
        <w:t>结余分配</w:t>
      </w:r>
      <w:r>
        <w:rPr>
          <w:rFonts w:ascii="Times New Roman" w:hAnsi="Times New Roman" w:cs="Times New Roman"/>
          <w:sz w:val="32"/>
          <w:szCs w:val="32"/>
          <w:u w:val="single"/>
        </w:rPr>
        <w:t>0.00</w:t>
      </w:r>
      <w:r>
        <w:rPr>
          <w:rFonts w:hint="eastAsia"/>
          <w:sz w:val="32"/>
          <w:szCs w:val="32"/>
        </w:rPr>
        <w:t>万元。结余分配事项：无。与上年决算相比，减少</w:t>
      </w:r>
      <w:r>
        <w:rPr>
          <w:rFonts w:ascii="Times New Roman" w:hAnsi="Times New Roman" w:cs="Times New Roman"/>
          <w:sz w:val="32"/>
          <w:szCs w:val="32"/>
          <w:u w:val="single"/>
        </w:rPr>
        <w:t>0.00</w:t>
      </w:r>
      <w:r>
        <w:rPr>
          <w:rFonts w:hint="eastAsia"/>
          <w:sz w:val="32"/>
          <w:szCs w:val="32"/>
        </w:rPr>
        <w:t>万元，减少</w:t>
      </w:r>
      <w:r>
        <w:rPr>
          <w:rFonts w:ascii="Times New Roman" w:hAnsi="Times New Roman" w:cs="Times New Roman"/>
          <w:sz w:val="32"/>
          <w:szCs w:val="32"/>
          <w:u w:val="single"/>
        </w:rPr>
        <w:t>0.00</w:t>
      </w:r>
      <w:r>
        <w:rPr>
          <w:rFonts w:hint="eastAsia"/>
          <w:sz w:val="32"/>
          <w:szCs w:val="32"/>
        </w:rPr>
        <w:t>%。</w:t>
      </w:r>
      <w:r>
        <w:rPr>
          <w:rFonts w:hint="eastAsia" w:cs="仿宋_GB2312"/>
          <w:kern w:val="2"/>
          <w:sz w:val="32"/>
          <w:szCs w:val="32"/>
        </w:rPr>
        <w:t>变动原因：本单位不涉及。</w:t>
      </w:r>
      <w:r>
        <w:rPr>
          <w:rFonts w:ascii="Times New Roman" w:hAnsi="Times New Roman" w:cs="Times New Roman"/>
          <w:sz w:val="32"/>
          <w:szCs w:val="32"/>
        </w:rPr>
        <w:t>3.</w:t>
      </w:r>
      <w:r>
        <w:rPr>
          <w:rFonts w:hint="eastAsia"/>
          <w:sz w:val="32"/>
          <w:szCs w:val="32"/>
        </w:rPr>
        <w:t>年末结转和结余</w:t>
      </w:r>
      <w:r>
        <w:rPr>
          <w:rFonts w:ascii="Times New Roman" w:hAnsi="Times New Roman" w:cs="Times New Roman"/>
          <w:sz w:val="32"/>
          <w:szCs w:val="32"/>
          <w:u w:val="single"/>
        </w:rPr>
        <w:t>0.00</w:t>
      </w:r>
      <w:r>
        <w:rPr>
          <w:rFonts w:hint="eastAsia"/>
          <w:sz w:val="32"/>
          <w:szCs w:val="32"/>
        </w:rPr>
        <w:t>万元。结转和结余事项：无。与上年决算相比，减少</w:t>
      </w:r>
      <w:r>
        <w:rPr>
          <w:rFonts w:ascii="Times New Roman" w:hAnsi="Times New Roman" w:cs="Times New Roman"/>
          <w:sz w:val="32"/>
          <w:szCs w:val="32"/>
          <w:u w:val="single"/>
        </w:rPr>
        <w:t>17.77</w:t>
      </w:r>
      <w:r>
        <w:rPr>
          <w:rFonts w:hint="eastAsia"/>
          <w:sz w:val="32"/>
          <w:szCs w:val="32"/>
        </w:rPr>
        <w:t>万元，减少</w:t>
      </w:r>
      <w:r>
        <w:rPr>
          <w:rFonts w:ascii="Times New Roman" w:hAnsi="Times New Roman" w:cs="Times New Roman"/>
          <w:sz w:val="32"/>
          <w:szCs w:val="32"/>
          <w:u w:val="single"/>
        </w:rPr>
        <w:t>100.00</w:t>
      </w:r>
      <w:r>
        <w:rPr>
          <w:rFonts w:hint="eastAsia"/>
          <w:sz w:val="32"/>
          <w:szCs w:val="32"/>
        </w:rPr>
        <w:t>%，2022年末账务调账结余。</w:t>
      </w:r>
    </w:p>
    <w:p>
      <w:pPr>
        <w:spacing w:before="100" w:beforeAutospacing="1" w:after="100" w:afterAutospacing="1" w:line="560" w:lineRule="atLeast"/>
        <w:ind w:firstLine="640"/>
        <w:jc w:val="both"/>
        <w:rPr>
          <w:sz w:val="32"/>
          <w:szCs w:val="32"/>
        </w:rPr>
      </w:pPr>
      <w:r>
        <w:rPr>
          <w:rFonts w:hint="eastAsia"/>
          <w:sz w:val="32"/>
          <w:szCs w:val="32"/>
        </w:rPr>
        <w:t>包头市国资国企改革发展促进中心单位2022年度收入、支出决算总计</w:t>
      </w:r>
      <w:r>
        <w:rPr>
          <w:rFonts w:ascii="Times New Roman" w:hAnsi="Times New Roman" w:cs="Times New Roman"/>
          <w:sz w:val="32"/>
          <w:szCs w:val="32"/>
        </w:rPr>
        <w:t>254.88</w:t>
      </w:r>
      <w:r>
        <w:rPr>
          <w:rFonts w:hint="eastAsia"/>
          <w:sz w:val="32"/>
          <w:szCs w:val="32"/>
        </w:rPr>
        <w:t>万元。与年初预算相比，收、支总计各增加</w:t>
      </w:r>
      <w:r>
        <w:rPr>
          <w:rFonts w:ascii="Times New Roman" w:hAnsi="Times New Roman" w:cs="Times New Roman"/>
          <w:sz w:val="32"/>
          <w:szCs w:val="32"/>
        </w:rPr>
        <w:t>117.84</w:t>
      </w:r>
      <w:r>
        <w:rPr>
          <w:rFonts w:hint="eastAsia"/>
          <w:sz w:val="32"/>
          <w:szCs w:val="32"/>
        </w:rPr>
        <w:t>万元，增长</w:t>
      </w:r>
      <w:r>
        <w:rPr>
          <w:rFonts w:ascii="Times New Roman" w:hAnsi="Times New Roman" w:cs="Times New Roman"/>
          <w:sz w:val="32"/>
          <w:szCs w:val="32"/>
        </w:rPr>
        <w:t>85.99</w:t>
      </w:r>
      <w:r>
        <w:rPr>
          <w:rFonts w:hint="eastAsia"/>
          <w:sz w:val="32"/>
          <w:szCs w:val="32"/>
        </w:rPr>
        <w:t>%，变动原因：单位新成立，去年无业务支出；与上年决算相比，收、支总计各增加</w:t>
      </w:r>
      <w:r>
        <w:rPr>
          <w:rFonts w:ascii="Times New Roman" w:hAnsi="Times New Roman" w:cs="Times New Roman"/>
          <w:sz w:val="32"/>
          <w:szCs w:val="32"/>
        </w:rPr>
        <w:t>254.88</w:t>
      </w:r>
      <w:r>
        <w:rPr>
          <w:rFonts w:hint="eastAsia"/>
          <w:sz w:val="32"/>
          <w:szCs w:val="32"/>
        </w:rPr>
        <w:t>万元，增长</w:t>
      </w:r>
      <w:r>
        <w:rPr>
          <w:rFonts w:ascii="Times New Roman" w:hAnsi="Times New Roman" w:cs="Times New Roman"/>
          <w:sz w:val="32"/>
          <w:szCs w:val="32"/>
        </w:rPr>
        <w:t>0.00</w:t>
      </w:r>
      <w:r>
        <w:rPr>
          <w:rFonts w:hint="eastAsia"/>
          <w:sz w:val="32"/>
          <w:szCs w:val="32"/>
        </w:rPr>
        <w:t>%。其中：</w:t>
      </w:r>
    </w:p>
    <w:p>
      <w:pPr>
        <w:numPr>
          <w:ilvl w:val="0"/>
          <w:numId w:val="2"/>
        </w:numPr>
        <w:spacing w:before="100" w:beforeAutospacing="1" w:after="100" w:afterAutospacing="1" w:line="560" w:lineRule="atLeast"/>
        <w:ind w:firstLine="643"/>
        <w:jc w:val="both"/>
        <w:rPr>
          <w:rFonts w:ascii="楷体" w:hAnsi="楷体" w:eastAsia="楷体" w:cs="楷体"/>
          <w:b/>
          <w:bCs/>
          <w:sz w:val="32"/>
          <w:szCs w:val="32"/>
        </w:rPr>
      </w:pPr>
      <w:r>
        <w:rPr>
          <w:rFonts w:hint="eastAsia" w:ascii="楷体" w:hAnsi="楷体" w:eastAsia="楷体" w:cs="楷体"/>
          <w:b/>
          <w:bCs/>
          <w:sz w:val="32"/>
          <w:szCs w:val="32"/>
        </w:rPr>
        <w:t>收入决算总计</w:t>
      </w:r>
      <w:r>
        <w:rPr>
          <w:rFonts w:ascii="Times New Roman" w:hAnsi="Times New Roman" w:cs="Times New Roman"/>
          <w:sz w:val="32"/>
          <w:szCs w:val="32"/>
        </w:rPr>
        <w:t>254.88</w:t>
      </w:r>
      <w:r>
        <w:rPr>
          <w:rFonts w:hint="eastAsia" w:ascii="楷体" w:hAnsi="楷体" w:eastAsia="楷体" w:cs="楷体"/>
          <w:b/>
          <w:bCs/>
          <w:sz w:val="32"/>
          <w:szCs w:val="32"/>
        </w:rPr>
        <w:t>万元。包括：</w:t>
      </w:r>
    </w:p>
    <w:p>
      <w:pPr>
        <w:spacing w:before="100" w:beforeAutospacing="1" w:after="100" w:afterAutospacing="1" w:line="560" w:lineRule="atLeast"/>
        <w:ind w:firstLine="640" w:firstLineChars="200"/>
        <w:jc w:val="both"/>
      </w:pPr>
      <w:r>
        <w:rPr>
          <w:rFonts w:ascii="Times New Roman" w:hAnsi="Times New Roman" w:cs="Times New Roman"/>
          <w:sz w:val="32"/>
          <w:szCs w:val="32"/>
        </w:rPr>
        <w:t>1.</w:t>
      </w:r>
      <w:r>
        <w:rPr>
          <w:rFonts w:hint="eastAsia"/>
          <w:sz w:val="32"/>
          <w:szCs w:val="32"/>
        </w:rPr>
        <w:t>本年收入决算合计</w:t>
      </w:r>
      <w:r>
        <w:rPr>
          <w:rFonts w:ascii="Times New Roman" w:hAnsi="Times New Roman" w:cs="Times New Roman"/>
          <w:sz w:val="32"/>
          <w:szCs w:val="32"/>
        </w:rPr>
        <w:t>254.88</w:t>
      </w:r>
      <w:r>
        <w:rPr>
          <w:rFonts w:hint="eastAsia"/>
          <w:sz w:val="32"/>
          <w:szCs w:val="32"/>
        </w:rPr>
        <w:t>万元。与上年决算相比，增加</w:t>
      </w:r>
      <w:r>
        <w:rPr>
          <w:rFonts w:ascii="Times New Roman" w:hAnsi="Times New Roman" w:cs="Times New Roman"/>
          <w:sz w:val="32"/>
          <w:szCs w:val="32"/>
        </w:rPr>
        <w:t>254.88</w:t>
      </w:r>
      <w:r>
        <w:rPr>
          <w:rFonts w:hint="eastAsia"/>
          <w:sz w:val="32"/>
          <w:szCs w:val="32"/>
        </w:rPr>
        <w:t>万元，增长</w:t>
      </w:r>
      <w:r>
        <w:rPr>
          <w:rFonts w:ascii="Times New Roman" w:hAnsi="Times New Roman" w:cs="Times New Roman"/>
          <w:sz w:val="32"/>
          <w:szCs w:val="32"/>
        </w:rPr>
        <w:t>0.00</w:t>
      </w:r>
      <w:r>
        <w:rPr>
          <w:rFonts w:hint="eastAsia"/>
          <w:sz w:val="32"/>
          <w:szCs w:val="32"/>
        </w:rPr>
        <w:t>%，变动原因：单位新成立，去年无业务支出。</w:t>
      </w:r>
    </w:p>
    <w:p>
      <w:pPr>
        <w:spacing w:before="100" w:beforeAutospacing="1" w:after="100" w:afterAutospacing="1" w:line="560" w:lineRule="atLeast"/>
        <w:ind w:firstLine="640"/>
        <w:jc w:val="both"/>
      </w:pPr>
      <w:r>
        <w:rPr>
          <w:rFonts w:ascii="Times New Roman" w:hAnsi="Times New Roman" w:cs="Times New Roman"/>
          <w:sz w:val="32"/>
          <w:szCs w:val="32"/>
        </w:rPr>
        <w:t>2.</w:t>
      </w:r>
      <w:r>
        <w:rPr>
          <w:rFonts w:hint="eastAsia"/>
          <w:sz w:val="32"/>
          <w:szCs w:val="32"/>
        </w:rPr>
        <w:t>使用非财政拨款结余</w:t>
      </w:r>
      <w:r>
        <w:rPr>
          <w:rFonts w:ascii="Times New Roman" w:hAnsi="Times New Roman" w:cs="Times New Roman"/>
          <w:sz w:val="32"/>
          <w:szCs w:val="32"/>
        </w:rPr>
        <w:t>0.00</w:t>
      </w:r>
      <w:r>
        <w:rPr>
          <w:rFonts w:hint="eastAsia"/>
          <w:sz w:val="32"/>
          <w:szCs w:val="32"/>
        </w:rPr>
        <w:t>万元。与上年决算相比，增加</w:t>
      </w:r>
      <w:r>
        <w:rPr>
          <w:rFonts w:ascii="Times New Roman" w:hAnsi="Times New Roman" w:cs="Times New Roman"/>
          <w:sz w:val="32"/>
          <w:szCs w:val="32"/>
        </w:rPr>
        <w:t>0.00</w:t>
      </w:r>
      <w:r>
        <w:rPr>
          <w:rFonts w:hint="eastAsia"/>
          <w:sz w:val="32"/>
          <w:szCs w:val="32"/>
        </w:rPr>
        <w:t>万元，增长</w:t>
      </w:r>
      <w:r>
        <w:rPr>
          <w:rFonts w:ascii="Times New Roman" w:hAnsi="Times New Roman" w:cs="Times New Roman"/>
          <w:sz w:val="32"/>
          <w:szCs w:val="32"/>
        </w:rPr>
        <w:t>0.00</w:t>
      </w:r>
      <w:r>
        <w:rPr>
          <w:rFonts w:hint="eastAsia"/>
          <w:sz w:val="32"/>
          <w:szCs w:val="32"/>
        </w:rPr>
        <w:t>%，变动原因：单位新成立，去年无业务支出。</w:t>
      </w:r>
    </w:p>
    <w:p>
      <w:pPr>
        <w:spacing w:before="100" w:beforeAutospacing="1" w:after="100" w:afterAutospacing="1" w:line="560" w:lineRule="atLeast"/>
        <w:ind w:firstLine="640"/>
        <w:jc w:val="both"/>
      </w:pPr>
      <w:r>
        <w:rPr>
          <w:rFonts w:ascii="Times New Roman" w:hAnsi="Times New Roman" w:cs="Times New Roman"/>
          <w:sz w:val="32"/>
          <w:szCs w:val="32"/>
        </w:rPr>
        <w:t>3.</w:t>
      </w:r>
      <w:r>
        <w:rPr>
          <w:rFonts w:hint="eastAsia"/>
          <w:sz w:val="32"/>
          <w:szCs w:val="32"/>
        </w:rPr>
        <w:t>年初结转和结余</w:t>
      </w:r>
      <w:r>
        <w:rPr>
          <w:rFonts w:ascii="Times New Roman" w:hAnsi="Times New Roman" w:cs="Times New Roman"/>
          <w:sz w:val="32"/>
          <w:szCs w:val="32"/>
        </w:rPr>
        <w:t>0.00</w:t>
      </w:r>
      <w:r>
        <w:rPr>
          <w:rFonts w:hint="eastAsia"/>
          <w:sz w:val="32"/>
          <w:szCs w:val="32"/>
        </w:rPr>
        <w:t>万元。与上年决算相比，增加</w:t>
      </w:r>
      <w:r>
        <w:rPr>
          <w:rFonts w:ascii="Times New Roman" w:hAnsi="Times New Roman" w:cs="Times New Roman"/>
          <w:sz w:val="32"/>
          <w:szCs w:val="32"/>
        </w:rPr>
        <w:t>0.00</w:t>
      </w:r>
      <w:r>
        <w:rPr>
          <w:rFonts w:hint="eastAsia"/>
          <w:sz w:val="32"/>
          <w:szCs w:val="32"/>
        </w:rPr>
        <w:t>万元，增长</w:t>
      </w:r>
      <w:r>
        <w:rPr>
          <w:rFonts w:ascii="Times New Roman" w:hAnsi="Times New Roman" w:cs="Times New Roman"/>
          <w:sz w:val="32"/>
          <w:szCs w:val="32"/>
        </w:rPr>
        <w:t>0.00</w:t>
      </w:r>
      <w:r>
        <w:rPr>
          <w:rFonts w:hint="eastAsia"/>
          <w:sz w:val="32"/>
          <w:szCs w:val="32"/>
        </w:rPr>
        <w:t>%，变动原因：单位新成立，去年无业务支出。</w:t>
      </w:r>
    </w:p>
    <w:p>
      <w:pPr>
        <w:spacing w:before="100" w:beforeAutospacing="1" w:after="100" w:afterAutospacing="1" w:line="560" w:lineRule="atLeast"/>
        <w:ind w:firstLine="643"/>
        <w:jc w:val="both"/>
      </w:pPr>
      <w:r>
        <w:rPr>
          <w:rFonts w:hint="eastAsia" w:ascii="楷体" w:hAnsi="楷体" w:eastAsia="楷体" w:cs="楷体"/>
          <w:b/>
          <w:bCs/>
          <w:sz w:val="32"/>
          <w:szCs w:val="32"/>
        </w:rPr>
        <w:t>（二）支出决算总计</w:t>
      </w:r>
      <w:r>
        <w:rPr>
          <w:rFonts w:ascii="Times New Roman" w:hAnsi="Times New Roman" w:cs="Times New Roman"/>
          <w:sz w:val="32"/>
          <w:szCs w:val="32"/>
        </w:rPr>
        <w:t>254.88</w:t>
      </w:r>
      <w:r>
        <w:rPr>
          <w:rFonts w:hint="eastAsia" w:ascii="楷体" w:hAnsi="楷体" w:eastAsia="楷体" w:cs="楷体"/>
          <w:b/>
          <w:bCs/>
          <w:sz w:val="32"/>
          <w:szCs w:val="32"/>
        </w:rPr>
        <w:t>万元。包括：</w:t>
      </w:r>
    </w:p>
    <w:p>
      <w:pPr>
        <w:spacing w:before="100" w:beforeAutospacing="1" w:after="100" w:afterAutospacing="1" w:line="560" w:lineRule="atLeast"/>
        <w:ind w:firstLine="640"/>
        <w:jc w:val="both"/>
      </w:pPr>
      <w:r>
        <w:rPr>
          <w:rFonts w:ascii="Times New Roman" w:hAnsi="Times New Roman" w:cs="Times New Roman"/>
          <w:sz w:val="32"/>
          <w:szCs w:val="32"/>
        </w:rPr>
        <w:t>1.</w:t>
      </w:r>
      <w:r>
        <w:rPr>
          <w:rFonts w:hint="eastAsia"/>
          <w:sz w:val="32"/>
          <w:szCs w:val="32"/>
        </w:rPr>
        <w:t>本年支出决算合计</w:t>
      </w:r>
      <w:r>
        <w:rPr>
          <w:rFonts w:ascii="Times New Roman" w:hAnsi="Times New Roman" w:cs="Times New Roman"/>
          <w:sz w:val="32"/>
          <w:szCs w:val="32"/>
        </w:rPr>
        <w:t>254.88</w:t>
      </w:r>
      <w:r>
        <w:rPr>
          <w:rFonts w:hint="eastAsia"/>
          <w:sz w:val="32"/>
          <w:szCs w:val="32"/>
        </w:rPr>
        <w:t>万元。与上年决算相比，增加</w:t>
      </w:r>
      <w:r>
        <w:rPr>
          <w:rFonts w:ascii="Times New Roman" w:hAnsi="Times New Roman" w:cs="Times New Roman"/>
          <w:sz w:val="32"/>
          <w:szCs w:val="32"/>
        </w:rPr>
        <w:t>254.88</w:t>
      </w:r>
      <w:r>
        <w:rPr>
          <w:rFonts w:hint="eastAsia"/>
          <w:sz w:val="32"/>
          <w:szCs w:val="32"/>
        </w:rPr>
        <w:t>万元，增长</w:t>
      </w:r>
      <w:r>
        <w:rPr>
          <w:rFonts w:ascii="Times New Roman" w:hAnsi="Times New Roman" w:cs="Times New Roman"/>
          <w:sz w:val="32"/>
          <w:szCs w:val="32"/>
        </w:rPr>
        <w:t>0.00</w:t>
      </w:r>
      <w:r>
        <w:rPr>
          <w:rFonts w:hint="eastAsia"/>
          <w:sz w:val="32"/>
          <w:szCs w:val="32"/>
        </w:rPr>
        <w:t>%，变动原因：单位新成立，去年无业务支出。</w:t>
      </w:r>
    </w:p>
    <w:p>
      <w:pPr>
        <w:spacing w:before="100" w:beforeAutospacing="1" w:after="100" w:afterAutospacing="1" w:line="560" w:lineRule="atLeast"/>
        <w:ind w:firstLine="640"/>
        <w:jc w:val="both"/>
      </w:pPr>
      <w:r>
        <w:rPr>
          <w:rFonts w:ascii="Times New Roman" w:hAnsi="Times New Roman" w:cs="Times New Roman"/>
          <w:sz w:val="32"/>
          <w:szCs w:val="32"/>
        </w:rPr>
        <w:t>2.</w:t>
      </w:r>
      <w:r>
        <w:rPr>
          <w:rFonts w:hint="eastAsia"/>
          <w:sz w:val="32"/>
          <w:szCs w:val="32"/>
        </w:rPr>
        <w:t>结余分配</w:t>
      </w:r>
      <w:r>
        <w:rPr>
          <w:rFonts w:ascii="Times New Roman" w:hAnsi="Times New Roman" w:cs="Times New Roman"/>
          <w:sz w:val="32"/>
          <w:szCs w:val="32"/>
        </w:rPr>
        <w:t>0.00</w:t>
      </w:r>
      <w:r>
        <w:rPr>
          <w:rFonts w:hint="eastAsia"/>
          <w:sz w:val="32"/>
          <w:szCs w:val="32"/>
        </w:rPr>
        <w:t>万元。。与上年决算相比，增加</w:t>
      </w:r>
      <w:r>
        <w:rPr>
          <w:rFonts w:ascii="Times New Roman" w:hAnsi="Times New Roman" w:cs="Times New Roman"/>
          <w:sz w:val="32"/>
          <w:szCs w:val="32"/>
        </w:rPr>
        <w:t>0.00</w:t>
      </w:r>
      <w:r>
        <w:rPr>
          <w:rFonts w:hint="eastAsia"/>
          <w:sz w:val="32"/>
          <w:szCs w:val="32"/>
        </w:rPr>
        <w:t>万元，增长</w:t>
      </w:r>
      <w:r>
        <w:rPr>
          <w:rFonts w:ascii="Times New Roman" w:hAnsi="Times New Roman" w:cs="Times New Roman"/>
          <w:sz w:val="32"/>
          <w:szCs w:val="32"/>
        </w:rPr>
        <w:t>0.00</w:t>
      </w:r>
      <w:r>
        <w:rPr>
          <w:rFonts w:hint="eastAsia"/>
          <w:sz w:val="32"/>
          <w:szCs w:val="32"/>
        </w:rPr>
        <w:t>%，变动原因：单位新成立，去年无业务支出。</w:t>
      </w:r>
    </w:p>
    <w:p>
      <w:pPr>
        <w:spacing w:before="100" w:beforeAutospacing="1" w:after="100" w:afterAutospacing="1" w:line="560" w:lineRule="atLeast"/>
        <w:ind w:firstLine="640"/>
        <w:jc w:val="both"/>
      </w:pPr>
      <w:r>
        <w:rPr>
          <w:rFonts w:ascii="Times New Roman" w:hAnsi="Times New Roman" w:cs="Times New Roman"/>
          <w:sz w:val="32"/>
          <w:szCs w:val="32"/>
        </w:rPr>
        <w:t>3.</w:t>
      </w:r>
      <w:r>
        <w:rPr>
          <w:rFonts w:hint="eastAsia"/>
          <w:sz w:val="32"/>
          <w:szCs w:val="32"/>
        </w:rPr>
        <w:t>年末结转和结余</w:t>
      </w:r>
      <w:r>
        <w:rPr>
          <w:rFonts w:ascii="Times New Roman" w:hAnsi="Times New Roman" w:cs="Times New Roman"/>
          <w:sz w:val="32"/>
          <w:szCs w:val="32"/>
        </w:rPr>
        <w:t>0.00</w:t>
      </w:r>
      <w:r>
        <w:rPr>
          <w:rFonts w:hint="eastAsia"/>
          <w:sz w:val="32"/>
          <w:szCs w:val="32"/>
        </w:rPr>
        <w:t>万元。与上年决算相比，增加</w:t>
      </w:r>
      <w:r>
        <w:rPr>
          <w:rFonts w:ascii="Times New Roman" w:hAnsi="Times New Roman" w:cs="Times New Roman"/>
          <w:sz w:val="32"/>
          <w:szCs w:val="32"/>
        </w:rPr>
        <w:t>0.00</w:t>
      </w:r>
      <w:r>
        <w:rPr>
          <w:rFonts w:hint="eastAsia"/>
          <w:sz w:val="32"/>
          <w:szCs w:val="32"/>
        </w:rPr>
        <w:t>万元，增长</w:t>
      </w:r>
      <w:r>
        <w:rPr>
          <w:rFonts w:ascii="Times New Roman" w:hAnsi="Times New Roman" w:cs="Times New Roman"/>
          <w:sz w:val="32"/>
          <w:szCs w:val="32"/>
        </w:rPr>
        <w:t>0.00</w:t>
      </w:r>
      <w:r>
        <w:rPr>
          <w:rFonts w:hint="eastAsia"/>
          <w:sz w:val="32"/>
          <w:szCs w:val="32"/>
        </w:rPr>
        <w:t>%，变动原因：单位新成立，去年无业务支出。</w:t>
      </w:r>
    </w:p>
    <w:p>
      <w:pPr>
        <w:spacing w:before="100" w:beforeAutospacing="1" w:after="100" w:afterAutospacing="1" w:line="560" w:lineRule="atLeast"/>
        <w:ind w:firstLine="640"/>
        <w:jc w:val="both"/>
      </w:pPr>
      <w:r>
        <w:rPr>
          <w:rFonts w:hint="eastAsia" w:ascii="黑体" w:hAnsi="黑体" w:eastAsia="黑体"/>
          <w:b/>
          <w:bCs/>
          <w:sz w:val="32"/>
          <w:szCs w:val="32"/>
        </w:rPr>
        <w:t>二、收入决算情况说明</w:t>
      </w:r>
    </w:p>
    <w:p>
      <w:pPr>
        <w:spacing w:before="100" w:beforeAutospacing="1" w:after="100" w:afterAutospacing="1" w:line="560" w:lineRule="atLeast"/>
        <w:ind w:firstLine="640"/>
        <w:jc w:val="both"/>
      </w:pPr>
      <w:r>
        <w:rPr>
          <w:rFonts w:hint="eastAsia"/>
          <w:sz w:val="32"/>
          <w:szCs w:val="32"/>
          <w:lang w:eastAsia="zh-CN"/>
        </w:rPr>
        <w:t>包头市人民政府国有资产监督管理委员会（部门）</w:t>
      </w:r>
      <w:r>
        <w:rPr>
          <w:rFonts w:hint="eastAsia"/>
          <w:sz w:val="32"/>
          <w:szCs w:val="32"/>
        </w:rPr>
        <w:t>单位2022年度本年收入决算合计</w:t>
      </w:r>
      <w:r>
        <w:rPr>
          <w:rFonts w:ascii="Times New Roman" w:hAnsi="Times New Roman" w:cs="Times New Roman"/>
          <w:sz w:val="32"/>
          <w:szCs w:val="32"/>
          <w:u w:val="single"/>
        </w:rPr>
        <w:t>38,953.56</w:t>
      </w:r>
      <w:r>
        <w:rPr>
          <w:rFonts w:hint="eastAsia"/>
          <w:sz w:val="32"/>
          <w:szCs w:val="32"/>
        </w:rPr>
        <w:t>万元，其中：</w:t>
      </w:r>
    </w:p>
    <w:p>
      <w:pPr>
        <w:spacing w:before="100" w:beforeAutospacing="1" w:after="100" w:afterAutospacing="1" w:line="560" w:lineRule="atLeast"/>
        <w:ind w:firstLine="640"/>
        <w:jc w:val="both"/>
      </w:pPr>
      <w:r>
        <w:rPr>
          <w:rFonts w:hint="eastAsia"/>
          <w:sz w:val="32"/>
          <w:szCs w:val="32"/>
        </w:rPr>
        <w:t>本年一般公共预算财政拨款收入</w:t>
      </w:r>
      <w:r>
        <w:rPr>
          <w:rFonts w:ascii="Times New Roman" w:hAnsi="Times New Roman" w:cs="Times New Roman"/>
          <w:sz w:val="32"/>
          <w:szCs w:val="32"/>
          <w:u w:val="single"/>
        </w:rPr>
        <w:t>1,127.49</w:t>
      </w:r>
      <w:r>
        <w:rPr>
          <w:rFonts w:hint="eastAsia"/>
          <w:sz w:val="32"/>
          <w:szCs w:val="32"/>
        </w:rPr>
        <w:t>万元，与上年相比增加</w:t>
      </w:r>
      <w:r>
        <w:rPr>
          <w:rFonts w:ascii="Times New Roman" w:hAnsi="Times New Roman" w:cs="Times New Roman"/>
          <w:sz w:val="32"/>
          <w:szCs w:val="32"/>
          <w:u w:val="single"/>
        </w:rPr>
        <w:t>507.83</w:t>
      </w:r>
      <w:r>
        <w:rPr>
          <w:rFonts w:hint="eastAsia"/>
          <w:sz w:val="32"/>
          <w:szCs w:val="32"/>
        </w:rPr>
        <w:t>万元，本年度增加财政专项资金拨款，占</w:t>
      </w:r>
      <w:r>
        <w:rPr>
          <w:rFonts w:ascii="Times New Roman" w:hAnsi="Times New Roman" w:cs="Times New Roman"/>
          <w:sz w:val="32"/>
          <w:szCs w:val="32"/>
          <w:u w:val="single"/>
        </w:rPr>
        <w:t>2.89</w:t>
      </w:r>
      <w:r>
        <w:rPr>
          <w:rFonts w:hint="eastAsia"/>
          <w:sz w:val="32"/>
          <w:szCs w:val="32"/>
        </w:rPr>
        <w:t>%；</w:t>
      </w:r>
    </w:p>
    <w:p>
      <w:pPr>
        <w:spacing w:before="100" w:beforeAutospacing="1" w:after="100" w:afterAutospacing="1" w:line="560" w:lineRule="atLeast"/>
        <w:ind w:firstLine="640"/>
        <w:jc w:val="both"/>
      </w:pPr>
      <w:r>
        <w:rPr>
          <w:rFonts w:hint="eastAsia"/>
          <w:sz w:val="32"/>
          <w:szCs w:val="32"/>
        </w:rPr>
        <w:t>本年政府性基金预算财政拨款收入</w:t>
      </w:r>
      <w:r>
        <w:rPr>
          <w:rFonts w:ascii="Times New Roman" w:hAnsi="Times New Roman" w:cs="Times New Roman"/>
          <w:sz w:val="32"/>
          <w:szCs w:val="32"/>
          <w:u w:val="single"/>
        </w:rPr>
        <w:t>37,000.00</w:t>
      </w:r>
      <w:r>
        <w:rPr>
          <w:rFonts w:hint="eastAsia"/>
          <w:sz w:val="32"/>
          <w:szCs w:val="32"/>
        </w:rPr>
        <w:t>万元，与上年相比增加</w:t>
      </w:r>
      <w:r>
        <w:rPr>
          <w:rFonts w:ascii="Times New Roman" w:hAnsi="Times New Roman" w:cs="Times New Roman"/>
          <w:sz w:val="32"/>
          <w:szCs w:val="32"/>
          <w:u w:val="single"/>
        </w:rPr>
        <w:t>37,000.00</w:t>
      </w:r>
      <w:r>
        <w:rPr>
          <w:rFonts w:hint="eastAsia"/>
          <w:sz w:val="32"/>
          <w:szCs w:val="32"/>
        </w:rPr>
        <w:t>万元，变动原因：本年度增加财政专项资金拨款,占</w:t>
      </w:r>
      <w:r>
        <w:rPr>
          <w:rFonts w:ascii="Times New Roman" w:hAnsi="Times New Roman" w:cs="Times New Roman"/>
          <w:sz w:val="32"/>
          <w:szCs w:val="32"/>
          <w:u w:val="single"/>
        </w:rPr>
        <w:t>94.98</w:t>
      </w:r>
      <w:r>
        <w:rPr>
          <w:rFonts w:hint="eastAsia"/>
          <w:sz w:val="32"/>
          <w:szCs w:val="32"/>
        </w:rPr>
        <w:t>%；</w:t>
      </w:r>
    </w:p>
    <w:p>
      <w:pPr>
        <w:spacing w:before="100" w:beforeAutospacing="1" w:after="100" w:afterAutospacing="1" w:line="560" w:lineRule="atLeast"/>
        <w:ind w:firstLine="640"/>
        <w:jc w:val="both"/>
      </w:pPr>
      <w:r>
        <w:rPr>
          <w:rFonts w:hint="eastAsia"/>
          <w:sz w:val="32"/>
          <w:szCs w:val="32"/>
        </w:rPr>
        <w:t>本年国有资本经营预算财政拨款收入</w:t>
      </w:r>
      <w:r>
        <w:rPr>
          <w:rFonts w:ascii="Times New Roman" w:hAnsi="Times New Roman" w:cs="Times New Roman"/>
          <w:sz w:val="32"/>
          <w:szCs w:val="32"/>
          <w:u w:val="single"/>
        </w:rPr>
        <w:t>826.06</w:t>
      </w:r>
      <w:r>
        <w:rPr>
          <w:rFonts w:hint="eastAsia"/>
          <w:sz w:val="32"/>
          <w:szCs w:val="32"/>
        </w:rPr>
        <w:t>万元，与上年相比增加</w:t>
      </w:r>
      <w:r>
        <w:rPr>
          <w:rFonts w:ascii="Times New Roman" w:hAnsi="Times New Roman" w:cs="Times New Roman"/>
          <w:sz w:val="32"/>
          <w:szCs w:val="32"/>
          <w:u w:val="single"/>
        </w:rPr>
        <w:t>12.81</w:t>
      </w:r>
      <w:r>
        <w:rPr>
          <w:rFonts w:hint="eastAsia"/>
          <w:sz w:val="32"/>
          <w:szCs w:val="32"/>
        </w:rPr>
        <w:t>万元，变动原因：本年度增加财政专项资金拨款,占</w:t>
      </w:r>
      <w:r>
        <w:rPr>
          <w:rFonts w:ascii="Times New Roman" w:hAnsi="Times New Roman" w:cs="Times New Roman"/>
          <w:sz w:val="32"/>
          <w:szCs w:val="32"/>
          <w:u w:val="single"/>
        </w:rPr>
        <w:t>2.12</w:t>
      </w:r>
      <w:r>
        <w:rPr>
          <w:rFonts w:hint="eastAsia"/>
          <w:sz w:val="32"/>
          <w:szCs w:val="32"/>
        </w:rPr>
        <w:t>%；</w:t>
      </w:r>
    </w:p>
    <w:p>
      <w:pPr>
        <w:spacing w:before="100" w:beforeAutospacing="1" w:after="100" w:afterAutospacing="1" w:line="560" w:lineRule="atLeast"/>
        <w:ind w:firstLine="640"/>
        <w:jc w:val="both"/>
      </w:pPr>
      <w:r>
        <w:rPr>
          <w:rFonts w:hint="eastAsia"/>
          <w:sz w:val="32"/>
          <w:szCs w:val="32"/>
        </w:rPr>
        <w:t>本年上级补助收入</w:t>
      </w:r>
      <w:r>
        <w:rPr>
          <w:rFonts w:ascii="Times New Roman" w:hAnsi="Times New Roman" w:cs="Times New Roman"/>
          <w:sz w:val="32"/>
          <w:szCs w:val="32"/>
          <w:u w:val="single"/>
        </w:rPr>
        <w:t>0.00</w:t>
      </w:r>
      <w:r>
        <w:rPr>
          <w:rFonts w:hint="eastAsia"/>
          <w:sz w:val="32"/>
          <w:szCs w:val="32"/>
        </w:rPr>
        <w:t>万元，与上年相比增加</w:t>
      </w:r>
      <w:r>
        <w:rPr>
          <w:rFonts w:ascii="Times New Roman" w:hAnsi="Times New Roman" w:cs="Times New Roman"/>
          <w:sz w:val="32"/>
          <w:szCs w:val="32"/>
          <w:u w:val="single"/>
        </w:rPr>
        <w:t>0.00</w:t>
      </w:r>
      <w:r>
        <w:rPr>
          <w:rFonts w:hint="eastAsia"/>
          <w:sz w:val="32"/>
          <w:szCs w:val="32"/>
        </w:rPr>
        <w:t>万元，占</w:t>
      </w:r>
      <w:r>
        <w:rPr>
          <w:rFonts w:ascii="Times New Roman" w:hAnsi="Times New Roman" w:cs="Times New Roman"/>
          <w:sz w:val="32"/>
          <w:szCs w:val="32"/>
          <w:u w:val="single"/>
        </w:rPr>
        <w:t>0.00</w:t>
      </w:r>
      <w:r>
        <w:rPr>
          <w:rFonts w:hint="eastAsia"/>
          <w:sz w:val="32"/>
          <w:szCs w:val="32"/>
        </w:rPr>
        <w:t>%；</w:t>
      </w:r>
      <w:r>
        <w:rPr>
          <w:rFonts w:hint="eastAsia" w:cs="仿宋_GB2312"/>
          <w:kern w:val="2"/>
          <w:sz w:val="32"/>
          <w:szCs w:val="32"/>
        </w:rPr>
        <w:t>变动原因：本单位不涉及。</w:t>
      </w:r>
    </w:p>
    <w:p>
      <w:pPr>
        <w:spacing w:before="100" w:beforeAutospacing="1" w:after="100" w:afterAutospacing="1" w:line="560" w:lineRule="atLeast"/>
        <w:ind w:firstLine="640"/>
        <w:jc w:val="both"/>
      </w:pPr>
      <w:r>
        <w:rPr>
          <w:rFonts w:hint="eastAsia"/>
          <w:sz w:val="32"/>
          <w:szCs w:val="32"/>
        </w:rPr>
        <w:t>本年事业收入</w:t>
      </w:r>
      <w:r>
        <w:rPr>
          <w:rFonts w:ascii="Times New Roman" w:hAnsi="Times New Roman" w:cs="Times New Roman"/>
          <w:sz w:val="32"/>
          <w:szCs w:val="32"/>
          <w:u w:val="single"/>
        </w:rPr>
        <w:t>0.00</w:t>
      </w:r>
      <w:r>
        <w:rPr>
          <w:rFonts w:hint="eastAsia"/>
          <w:sz w:val="32"/>
          <w:szCs w:val="32"/>
        </w:rPr>
        <w:t>万元，与上年相比增加</w:t>
      </w:r>
      <w:r>
        <w:rPr>
          <w:rFonts w:ascii="Times New Roman" w:hAnsi="Times New Roman" w:cs="Times New Roman"/>
          <w:sz w:val="32"/>
          <w:szCs w:val="32"/>
          <w:u w:val="single"/>
        </w:rPr>
        <w:t>0.00</w:t>
      </w:r>
      <w:r>
        <w:rPr>
          <w:rFonts w:hint="eastAsia"/>
          <w:sz w:val="32"/>
          <w:szCs w:val="32"/>
        </w:rPr>
        <w:t>万元，占</w:t>
      </w:r>
      <w:r>
        <w:rPr>
          <w:rFonts w:ascii="Times New Roman" w:hAnsi="Times New Roman" w:cs="Times New Roman"/>
          <w:sz w:val="32"/>
          <w:szCs w:val="32"/>
          <w:u w:val="single"/>
        </w:rPr>
        <w:t>0.00</w:t>
      </w:r>
      <w:r>
        <w:rPr>
          <w:rFonts w:hint="eastAsia"/>
          <w:sz w:val="32"/>
          <w:szCs w:val="32"/>
        </w:rPr>
        <w:t>%；</w:t>
      </w:r>
      <w:r>
        <w:rPr>
          <w:rFonts w:hint="eastAsia" w:cs="仿宋_GB2312"/>
          <w:kern w:val="2"/>
          <w:sz w:val="32"/>
          <w:szCs w:val="32"/>
        </w:rPr>
        <w:t>变动原因：本单位不涉及。</w:t>
      </w:r>
    </w:p>
    <w:p>
      <w:pPr>
        <w:spacing w:before="100" w:beforeAutospacing="1" w:after="100" w:afterAutospacing="1" w:line="560" w:lineRule="atLeast"/>
        <w:ind w:firstLine="640"/>
        <w:jc w:val="both"/>
        <w:rPr>
          <w:rFonts w:cs="仿宋_GB2312"/>
          <w:kern w:val="2"/>
          <w:sz w:val="32"/>
          <w:szCs w:val="32"/>
        </w:rPr>
      </w:pPr>
      <w:r>
        <w:rPr>
          <w:rFonts w:hint="eastAsia"/>
          <w:sz w:val="32"/>
          <w:szCs w:val="32"/>
        </w:rPr>
        <w:t>本年经营收入</w:t>
      </w:r>
      <w:r>
        <w:rPr>
          <w:rFonts w:ascii="Times New Roman" w:hAnsi="Times New Roman" w:cs="Times New Roman"/>
          <w:sz w:val="32"/>
          <w:szCs w:val="32"/>
          <w:u w:val="single"/>
        </w:rPr>
        <w:t>0.00</w:t>
      </w:r>
      <w:r>
        <w:rPr>
          <w:rFonts w:hint="eastAsia"/>
          <w:sz w:val="32"/>
          <w:szCs w:val="32"/>
        </w:rPr>
        <w:t>万元，与上年相比增加</w:t>
      </w:r>
      <w:r>
        <w:rPr>
          <w:rFonts w:ascii="Times New Roman" w:hAnsi="Times New Roman" w:cs="Times New Roman"/>
          <w:sz w:val="32"/>
          <w:szCs w:val="32"/>
          <w:u w:val="single"/>
        </w:rPr>
        <w:t>0.00</w:t>
      </w:r>
      <w:r>
        <w:rPr>
          <w:rFonts w:hint="eastAsia"/>
          <w:sz w:val="32"/>
          <w:szCs w:val="32"/>
        </w:rPr>
        <w:t>万元，占</w:t>
      </w:r>
      <w:r>
        <w:rPr>
          <w:rFonts w:ascii="Times New Roman" w:hAnsi="Times New Roman" w:cs="Times New Roman"/>
          <w:sz w:val="32"/>
          <w:szCs w:val="32"/>
          <w:u w:val="single"/>
        </w:rPr>
        <w:t>0.00</w:t>
      </w:r>
      <w:r>
        <w:rPr>
          <w:rFonts w:hint="eastAsia"/>
          <w:sz w:val="32"/>
          <w:szCs w:val="32"/>
        </w:rPr>
        <w:t>%；</w:t>
      </w:r>
      <w:r>
        <w:rPr>
          <w:rFonts w:hint="eastAsia" w:cs="仿宋_GB2312"/>
          <w:kern w:val="2"/>
          <w:sz w:val="32"/>
          <w:szCs w:val="32"/>
        </w:rPr>
        <w:t>变动原因：本单位不涉及。</w:t>
      </w:r>
    </w:p>
    <w:p>
      <w:pPr>
        <w:spacing w:before="100" w:beforeAutospacing="1" w:after="100" w:afterAutospacing="1" w:line="560" w:lineRule="atLeast"/>
        <w:ind w:firstLine="640"/>
        <w:jc w:val="both"/>
        <w:rPr>
          <w:rFonts w:cs="仿宋_GB2312"/>
          <w:kern w:val="2"/>
          <w:sz w:val="32"/>
          <w:szCs w:val="32"/>
        </w:rPr>
      </w:pPr>
      <w:r>
        <w:rPr>
          <w:rFonts w:hint="eastAsia"/>
          <w:sz w:val="32"/>
          <w:szCs w:val="32"/>
        </w:rPr>
        <w:t>本年附属单位上缴收入</w:t>
      </w:r>
      <w:r>
        <w:rPr>
          <w:rFonts w:ascii="Times New Roman" w:hAnsi="Times New Roman" w:cs="Times New Roman"/>
          <w:sz w:val="32"/>
          <w:szCs w:val="32"/>
          <w:u w:val="single"/>
        </w:rPr>
        <w:t>0.00</w:t>
      </w:r>
      <w:r>
        <w:rPr>
          <w:rFonts w:hint="eastAsia"/>
          <w:sz w:val="32"/>
          <w:szCs w:val="32"/>
        </w:rPr>
        <w:t>万元，与上年相比增加</w:t>
      </w:r>
      <w:r>
        <w:rPr>
          <w:rFonts w:ascii="Times New Roman" w:hAnsi="Times New Roman" w:cs="Times New Roman"/>
          <w:sz w:val="32"/>
          <w:szCs w:val="32"/>
          <w:u w:val="single"/>
        </w:rPr>
        <w:t>0.00</w:t>
      </w:r>
      <w:r>
        <w:rPr>
          <w:rFonts w:hint="eastAsia"/>
          <w:sz w:val="32"/>
          <w:szCs w:val="32"/>
        </w:rPr>
        <w:t>万元，占</w:t>
      </w:r>
      <w:r>
        <w:rPr>
          <w:rFonts w:ascii="Times New Roman" w:hAnsi="Times New Roman" w:cs="Times New Roman"/>
          <w:sz w:val="32"/>
          <w:szCs w:val="32"/>
          <w:u w:val="single"/>
        </w:rPr>
        <w:t>0.00</w:t>
      </w:r>
      <w:r>
        <w:rPr>
          <w:rFonts w:hint="eastAsia"/>
          <w:sz w:val="32"/>
          <w:szCs w:val="32"/>
        </w:rPr>
        <w:t>%；</w:t>
      </w:r>
      <w:r>
        <w:rPr>
          <w:rFonts w:hint="eastAsia" w:cs="仿宋_GB2312"/>
          <w:kern w:val="2"/>
          <w:sz w:val="32"/>
          <w:szCs w:val="32"/>
        </w:rPr>
        <w:t>变动原因：本单位不涉及。</w:t>
      </w:r>
    </w:p>
    <w:p>
      <w:pPr>
        <w:spacing w:before="100" w:beforeAutospacing="1" w:after="100" w:afterAutospacing="1" w:line="560" w:lineRule="atLeast"/>
        <w:ind w:firstLine="640"/>
        <w:jc w:val="both"/>
        <w:rPr>
          <w:rFonts w:cs="仿宋_GB2312"/>
          <w:kern w:val="2"/>
          <w:sz w:val="32"/>
          <w:szCs w:val="32"/>
        </w:rPr>
      </w:pPr>
      <w:r>
        <w:rPr>
          <w:rFonts w:hint="eastAsia"/>
          <w:sz w:val="32"/>
          <w:szCs w:val="32"/>
        </w:rPr>
        <w:t>本年其他收入</w:t>
      </w:r>
      <w:r>
        <w:rPr>
          <w:rFonts w:ascii="Times New Roman" w:hAnsi="Times New Roman" w:cs="Times New Roman"/>
          <w:sz w:val="32"/>
          <w:szCs w:val="32"/>
          <w:u w:val="single"/>
        </w:rPr>
        <w:t>0.00</w:t>
      </w:r>
      <w:r>
        <w:rPr>
          <w:rFonts w:hint="eastAsia"/>
          <w:sz w:val="32"/>
          <w:szCs w:val="32"/>
        </w:rPr>
        <w:t>万元，与上年相比增加</w:t>
      </w:r>
      <w:r>
        <w:rPr>
          <w:rFonts w:ascii="Times New Roman" w:hAnsi="Times New Roman" w:cs="Times New Roman"/>
          <w:sz w:val="32"/>
          <w:szCs w:val="32"/>
          <w:u w:val="single"/>
        </w:rPr>
        <w:t>0.00</w:t>
      </w:r>
      <w:r>
        <w:rPr>
          <w:rFonts w:hint="eastAsia"/>
          <w:sz w:val="32"/>
          <w:szCs w:val="32"/>
        </w:rPr>
        <w:t>万元，占</w:t>
      </w:r>
      <w:r>
        <w:rPr>
          <w:rFonts w:ascii="Times New Roman" w:hAnsi="Times New Roman" w:cs="Times New Roman"/>
          <w:sz w:val="32"/>
          <w:szCs w:val="32"/>
          <w:u w:val="single"/>
        </w:rPr>
        <w:t>0.00</w:t>
      </w:r>
      <w:r>
        <w:rPr>
          <w:rFonts w:hint="eastAsia"/>
          <w:sz w:val="32"/>
          <w:szCs w:val="32"/>
        </w:rPr>
        <w:t>%</w:t>
      </w:r>
      <w:r>
        <w:rPr>
          <w:rFonts w:hint="eastAsia" w:cs="仿宋_GB2312"/>
          <w:kern w:val="2"/>
          <w:sz w:val="32"/>
          <w:szCs w:val="32"/>
        </w:rPr>
        <w:t>变动原因：本单位不涉及。</w:t>
      </w:r>
    </w:p>
    <w:p>
      <w:pPr>
        <w:spacing w:before="100" w:beforeAutospacing="1" w:after="100" w:afterAutospacing="1" w:line="560" w:lineRule="atLeast"/>
        <w:ind w:firstLine="640"/>
        <w:jc w:val="both"/>
        <w:rPr>
          <w:sz w:val="32"/>
          <w:szCs w:val="32"/>
        </w:rPr>
      </w:pPr>
      <w:r>
        <w:rPr>
          <w:rFonts w:hint="eastAsia"/>
          <w:sz w:val="32"/>
          <w:szCs w:val="32"/>
        </w:rPr>
        <w:t>包头市国资国企改革发展促进中心单位2022年度本年收入决算合计</w:t>
      </w:r>
      <w:r>
        <w:rPr>
          <w:rFonts w:ascii="Times New Roman" w:hAnsi="Times New Roman" w:cs="Times New Roman"/>
          <w:sz w:val="32"/>
          <w:szCs w:val="32"/>
        </w:rPr>
        <w:t>254.88</w:t>
      </w:r>
      <w:r>
        <w:rPr>
          <w:rFonts w:hint="eastAsia"/>
          <w:sz w:val="32"/>
          <w:szCs w:val="32"/>
        </w:rPr>
        <w:t>万元，其中：</w:t>
      </w:r>
    </w:p>
    <w:p>
      <w:pPr>
        <w:spacing w:before="100" w:beforeAutospacing="1" w:after="100" w:afterAutospacing="1" w:line="560" w:lineRule="atLeast"/>
        <w:ind w:firstLine="640"/>
        <w:jc w:val="both"/>
        <w:rPr>
          <w:sz w:val="32"/>
          <w:szCs w:val="32"/>
        </w:rPr>
      </w:pPr>
      <w:r>
        <w:rPr>
          <w:rFonts w:hint="eastAsia"/>
          <w:sz w:val="32"/>
          <w:szCs w:val="32"/>
        </w:rPr>
        <w:t>本年一般公共预算财政拨款收入</w:t>
      </w:r>
      <w:r>
        <w:rPr>
          <w:rFonts w:ascii="Times New Roman" w:hAnsi="Times New Roman" w:cs="Times New Roman"/>
          <w:sz w:val="32"/>
          <w:szCs w:val="32"/>
        </w:rPr>
        <w:t>254.88</w:t>
      </w:r>
      <w:r>
        <w:rPr>
          <w:rFonts w:hint="eastAsia"/>
          <w:sz w:val="32"/>
          <w:szCs w:val="32"/>
        </w:rPr>
        <w:t>万元，与上年相比增加</w:t>
      </w:r>
      <w:r>
        <w:rPr>
          <w:rFonts w:ascii="Times New Roman" w:hAnsi="Times New Roman" w:cs="Times New Roman"/>
          <w:sz w:val="32"/>
          <w:szCs w:val="32"/>
        </w:rPr>
        <w:t>254.88</w:t>
      </w:r>
      <w:r>
        <w:rPr>
          <w:rFonts w:hint="eastAsia"/>
          <w:sz w:val="32"/>
          <w:szCs w:val="32"/>
        </w:rPr>
        <w:t>万元，变动原因：单位新成立，去年无相关支出,占100.00%；</w:t>
      </w:r>
    </w:p>
    <w:p>
      <w:pPr>
        <w:spacing w:before="100" w:beforeAutospacing="1" w:after="100" w:afterAutospacing="1" w:line="560" w:lineRule="atLeast"/>
        <w:ind w:firstLine="640"/>
        <w:jc w:val="both"/>
        <w:rPr>
          <w:sz w:val="32"/>
          <w:szCs w:val="32"/>
        </w:rPr>
      </w:pPr>
      <w:r>
        <w:rPr>
          <w:rFonts w:hint="eastAsia"/>
          <w:sz w:val="32"/>
          <w:szCs w:val="32"/>
        </w:rPr>
        <w:t>本年政府性基金预算财政拨款收入</w:t>
      </w:r>
      <w:r>
        <w:rPr>
          <w:rFonts w:hint="eastAsia" w:ascii="Times New Roman" w:hAnsi="Times New Roman" w:cs="Times New Roman"/>
          <w:sz w:val="32"/>
          <w:szCs w:val="32"/>
        </w:rPr>
        <w:t>0.00</w:t>
      </w:r>
      <w:r>
        <w:rPr>
          <w:rFonts w:hint="eastAsia"/>
          <w:sz w:val="32"/>
          <w:szCs w:val="32"/>
        </w:rPr>
        <w:t>万元，与上年相比增加</w:t>
      </w:r>
      <w:r>
        <w:rPr>
          <w:rFonts w:hint="eastAsia" w:ascii="Times New Roman" w:hAnsi="Times New Roman" w:cs="Times New Roman"/>
          <w:sz w:val="32"/>
          <w:szCs w:val="32"/>
        </w:rPr>
        <w:t>0.00</w:t>
      </w:r>
      <w:r>
        <w:rPr>
          <w:rFonts w:hint="eastAsia"/>
          <w:sz w:val="32"/>
          <w:szCs w:val="32"/>
        </w:rPr>
        <w:t>万元，变动原因：无相关支出,占0.00%；</w:t>
      </w:r>
    </w:p>
    <w:p>
      <w:pPr>
        <w:spacing w:before="100" w:beforeAutospacing="1" w:after="100" w:afterAutospacing="1" w:line="560" w:lineRule="atLeast"/>
        <w:ind w:firstLine="640"/>
        <w:jc w:val="both"/>
      </w:pPr>
      <w:r>
        <w:rPr>
          <w:rFonts w:hint="eastAsia"/>
          <w:sz w:val="32"/>
          <w:szCs w:val="32"/>
        </w:rPr>
        <w:t>本年国有资本经营预算财政拨款收入</w:t>
      </w:r>
      <w:r>
        <w:rPr>
          <w:rFonts w:ascii="Times New Roman" w:hAnsi="Times New Roman" w:cs="Times New Roman"/>
          <w:sz w:val="32"/>
          <w:szCs w:val="32"/>
        </w:rPr>
        <w:t>0.00</w:t>
      </w:r>
      <w:r>
        <w:rPr>
          <w:rFonts w:hint="eastAsia"/>
          <w:sz w:val="32"/>
          <w:szCs w:val="32"/>
        </w:rPr>
        <w:t>万元，与上年相比增加</w:t>
      </w:r>
      <w:r>
        <w:rPr>
          <w:rFonts w:ascii="Times New Roman" w:hAnsi="Times New Roman" w:cs="Times New Roman"/>
          <w:sz w:val="32"/>
          <w:szCs w:val="32"/>
        </w:rPr>
        <w:t>0.00</w:t>
      </w:r>
      <w:r>
        <w:rPr>
          <w:rFonts w:hint="eastAsia"/>
          <w:sz w:val="32"/>
          <w:szCs w:val="32"/>
        </w:rPr>
        <w:t>万元，变动原因：无相关支出,占</w:t>
      </w:r>
      <w:r>
        <w:rPr>
          <w:rFonts w:ascii="Times New Roman" w:hAnsi="Times New Roman" w:cs="Times New Roman"/>
          <w:sz w:val="32"/>
          <w:szCs w:val="32"/>
        </w:rPr>
        <w:t>0.00</w:t>
      </w:r>
      <w:r>
        <w:rPr>
          <w:rFonts w:hint="eastAsia"/>
          <w:sz w:val="32"/>
          <w:szCs w:val="32"/>
        </w:rPr>
        <w:t>%；</w:t>
      </w:r>
    </w:p>
    <w:p>
      <w:pPr>
        <w:spacing w:before="100" w:beforeAutospacing="1" w:after="100" w:afterAutospacing="1" w:line="560" w:lineRule="atLeast"/>
        <w:ind w:firstLine="640"/>
        <w:jc w:val="both"/>
      </w:pPr>
      <w:r>
        <w:rPr>
          <w:rFonts w:hint="eastAsia"/>
          <w:sz w:val="32"/>
          <w:szCs w:val="32"/>
        </w:rPr>
        <w:t>本年上级补助收入</w:t>
      </w:r>
      <w:r>
        <w:rPr>
          <w:rFonts w:ascii="Times New Roman" w:hAnsi="Times New Roman" w:cs="Times New Roman"/>
          <w:sz w:val="32"/>
          <w:szCs w:val="32"/>
        </w:rPr>
        <w:t>0.00</w:t>
      </w:r>
      <w:r>
        <w:rPr>
          <w:rFonts w:hint="eastAsia"/>
          <w:sz w:val="32"/>
          <w:szCs w:val="32"/>
        </w:rPr>
        <w:t>万元，与上年相比增加</w:t>
      </w:r>
      <w:r>
        <w:rPr>
          <w:rFonts w:ascii="Times New Roman" w:hAnsi="Times New Roman" w:cs="Times New Roman"/>
          <w:sz w:val="32"/>
          <w:szCs w:val="32"/>
        </w:rPr>
        <w:t>0.00</w:t>
      </w:r>
      <w:r>
        <w:rPr>
          <w:rFonts w:hint="eastAsia"/>
          <w:sz w:val="32"/>
          <w:szCs w:val="32"/>
        </w:rPr>
        <w:t>万元，变动原因：无相关支出,占</w:t>
      </w:r>
      <w:r>
        <w:rPr>
          <w:rFonts w:ascii="Times New Roman" w:hAnsi="Times New Roman" w:cs="Times New Roman"/>
          <w:sz w:val="32"/>
          <w:szCs w:val="32"/>
        </w:rPr>
        <w:t>0.00</w:t>
      </w:r>
      <w:r>
        <w:rPr>
          <w:rFonts w:hint="eastAsia"/>
          <w:sz w:val="32"/>
          <w:szCs w:val="32"/>
        </w:rPr>
        <w:t>%；</w:t>
      </w:r>
    </w:p>
    <w:p>
      <w:pPr>
        <w:spacing w:before="100" w:beforeAutospacing="1" w:after="100" w:afterAutospacing="1" w:line="560" w:lineRule="atLeast"/>
        <w:ind w:firstLine="640"/>
        <w:jc w:val="both"/>
      </w:pPr>
      <w:r>
        <w:rPr>
          <w:rFonts w:hint="eastAsia"/>
          <w:sz w:val="32"/>
          <w:szCs w:val="32"/>
        </w:rPr>
        <w:t>本年事业收入</w:t>
      </w:r>
      <w:r>
        <w:rPr>
          <w:rFonts w:ascii="Times New Roman" w:hAnsi="Times New Roman" w:cs="Times New Roman"/>
          <w:sz w:val="32"/>
          <w:szCs w:val="32"/>
        </w:rPr>
        <w:t>0.00</w:t>
      </w:r>
      <w:r>
        <w:rPr>
          <w:rFonts w:hint="eastAsia"/>
          <w:sz w:val="32"/>
          <w:szCs w:val="32"/>
        </w:rPr>
        <w:t>万元，与上年相比增加</w:t>
      </w:r>
      <w:r>
        <w:rPr>
          <w:rFonts w:ascii="Times New Roman" w:hAnsi="Times New Roman" w:cs="Times New Roman"/>
          <w:sz w:val="32"/>
          <w:szCs w:val="32"/>
        </w:rPr>
        <w:t>0.00</w:t>
      </w:r>
      <w:r>
        <w:rPr>
          <w:rFonts w:hint="eastAsia"/>
          <w:sz w:val="32"/>
          <w:szCs w:val="32"/>
        </w:rPr>
        <w:t>万元，变动原因：无相关支出,占</w:t>
      </w:r>
      <w:r>
        <w:rPr>
          <w:rFonts w:ascii="Times New Roman" w:hAnsi="Times New Roman" w:cs="Times New Roman"/>
          <w:sz w:val="32"/>
          <w:szCs w:val="32"/>
        </w:rPr>
        <w:t>0.00</w:t>
      </w:r>
      <w:r>
        <w:rPr>
          <w:rFonts w:hint="eastAsia"/>
          <w:sz w:val="32"/>
          <w:szCs w:val="32"/>
        </w:rPr>
        <w:t>%；</w:t>
      </w:r>
    </w:p>
    <w:p>
      <w:pPr>
        <w:spacing w:before="100" w:beforeAutospacing="1" w:after="100" w:afterAutospacing="1" w:line="560" w:lineRule="atLeast"/>
        <w:ind w:firstLine="640"/>
        <w:jc w:val="both"/>
      </w:pPr>
      <w:r>
        <w:rPr>
          <w:rFonts w:hint="eastAsia"/>
          <w:sz w:val="32"/>
          <w:szCs w:val="32"/>
        </w:rPr>
        <w:t>本年经营收入</w:t>
      </w:r>
      <w:r>
        <w:rPr>
          <w:rFonts w:ascii="Times New Roman" w:hAnsi="Times New Roman" w:cs="Times New Roman"/>
          <w:sz w:val="32"/>
          <w:szCs w:val="32"/>
        </w:rPr>
        <w:t>0.00</w:t>
      </w:r>
      <w:r>
        <w:rPr>
          <w:rFonts w:hint="eastAsia"/>
          <w:sz w:val="32"/>
          <w:szCs w:val="32"/>
        </w:rPr>
        <w:t>万元，与上年相比增加</w:t>
      </w:r>
      <w:r>
        <w:rPr>
          <w:rFonts w:ascii="Times New Roman" w:hAnsi="Times New Roman" w:cs="Times New Roman"/>
          <w:sz w:val="32"/>
          <w:szCs w:val="32"/>
        </w:rPr>
        <w:t>0.00</w:t>
      </w:r>
      <w:r>
        <w:rPr>
          <w:rFonts w:hint="eastAsia"/>
          <w:sz w:val="32"/>
          <w:szCs w:val="32"/>
        </w:rPr>
        <w:t>万元，变动原因：无相关支出,占</w:t>
      </w:r>
      <w:r>
        <w:rPr>
          <w:rFonts w:ascii="Times New Roman" w:hAnsi="Times New Roman" w:cs="Times New Roman"/>
          <w:sz w:val="32"/>
          <w:szCs w:val="32"/>
        </w:rPr>
        <w:t>0.00</w:t>
      </w:r>
      <w:r>
        <w:rPr>
          <w:rFonts w:hint="eastAsia"/>
          <w:sz w:val="32"/>
          <w:szCs w:val="32"/>
        </w:rPr>
        <w:t>%；</w:t>
      </w:r>
    </w:p>
    <w:p>
      <w:pPr>
        <w:spacing w:before="100" w:beforeAutospacing="1" w:after="100" w:afterAutospacing="1" w:line="560" w:lineRule="atLeast"/>
        <w:ind w:firstLine="640"/>
        <w:jc w:val="both"/>
      </w:pPr>
      <w:r>
        <w:rPr>
          <w:rFonts w:hint="eastAsia"/>
          <w:sz w:val="32"/>
          <w:szCs w:val="32"/>
        </w:rPr>
        <w:t>本年附属单位上缴收入</w:t>
      </w:r>
      <w:r>
        <w:rPr>
          <w:rFonts w:ascii="Times New Roman" w:hAnsi="Times New Roman" w:cs="Times New Roman"/>
          <w:sz w:val="32"/>
          <w:szCs w:val="32"/>
        </w:rPr>
        <w:t>0.00</w:t>
      </w:r>
      <w:r>
        <w:rPr>
          <w:rFonts w:hint="eastAsia"/>
          <w:sz w:val="32"/>
          <w:szCs w:val="32"/>
        </w:rPr>
        <w:t>万元，与上年相比增加</w:t>
      </w:r>
      <w:r>
        <w:rPr>
          <w:rFonts w:ascii="Times New Roman" w:hAnsi="Times New Roman" w:cs="Times New Roman"/>
          <w:sz w:val="32"/>
          <w:szCs w:val="32"/>
        </w:rPr>
        <w:t>0.00</w:t>
      </w:r>
      <w:r>
        <w:rPr>
          <w:rFonts w:hint="eastAsia"/>
          <w:sz w:val="32"/>
          <w:szCs w:val="32"/>
        </w:rPr>
        <w:t>万元，变动原因：无相关支出,占</w:t>
      </w:r>
      <w:r>
        <w:rPr>
          <w:rFonts w:ascii="Times New Roman" w:hAnsi="Times New Roman" w:cs="Times New Roman"/>
          <w:sz w:val="32"/>
          <w:szCs w:val="32"/>
        </w:rPr>
        <w:t>0.00</w:t>
      </w:r>
      <w:r>
        <w:rPr>
          <w:rFonts w:hint="eastAsia"/>
          <w:sz w:val="32"/>
          <w:szCs w:val="32"/>
        </w:rPr>
        <w:t>%；</w:t>
      </w:r>
    </w:p>
    <w:p>
      <w:pPr>
        <w:spacing w:before="100" w:beforeAutospacing="1" w:after="100" w:afterAutospacing="1" w:line="560" w:lineRule="atLeast"/>
        <w:ind w:firstLine="640"/>
        <w:jc w:val="both"/>
      </w:pPr>
      <w:r>
        <w:rPr>
          <w:rFonts w:hint="eastAsia"/>
          <w:sz w:val="32"/>
          <w:szCs w:val="32"/>
        </w:rPr>
        <w:t>本年其他收入</w:t>
      </w:r>
      <w:r>
        <w:rPr>
          <w:rFonts w:ascii="Times New Roman" w:hAnsi="Times New Roman" w:cs="Times New Roman"/>
          <w:sz w:val="32"/>
          <w:szCs w:val="32"/>
        </w:rPr>
        <w:t>0.00</w:t>
      </w:r>
      <w:r>
        <w:rPr>
          <w:rFonts w:hint="eastAsia"/>
          <w:sz w:val="32"/>
          <w:szCs w:val="32"/>
        </w:rPr>
        <w:t>万元，与上年相比增加</w:t>
      </w:r>
      <w:r>
        <w:rPr>
          <w:rFonts w:ascii="Times New Roman" w:hAnsi="Times New Roman" w:cs="Times New Roman"/>
          <w:sz w:val="32"/>
          <w:szCs w:val="32"/>
        </w:rPr>
        <w:t>0.00</w:t>
      </w:r>
      <w:r>
        <w:rPr>
          <w:rFonts w:hint="eastAsia"/>
          <w:sz w:val="32"/>
          <w:szCs w:val="32"/>
        </w:rPr>
        <w:t>万元，变动原因：无相关支出,占</w:t>
      </w:r>
      <w:r>
        <w:rPr>
          <w:rFonts w:ascii="Times New Roman" w:hAnsi="Times New Roman" w:cs="Times New Roman"/>
          <w:sz w:val="32"/>
          <w:szCs w:val="32"/>
        </w:rPr>
        <w:t>0.00</w:t>
      </w:r>
      <w:r>
        <w:rPr>
          <w:rFonts w:hint="eastAsia"/>
          <w:sz w:val="32"/>
          <w:szCs w:val="32"/>
        </w:rPr>
        <w:t>%。</w:t>
      </w:r>
      <w:r>
        <w:rPr>
          <w:rFonts w:ascii="Times New Roman" w:hAnsi="Times New Roman" w:cs="Times New Roman"/>
          <w:sz w:val="32"/>
          <w:szCs w:val="32"/>
        </w:rPr>
        <w:t xml:space="preserve">  </w:t>
      </w:r>
    </w:p>
    <w:p>
      <w:pPr>
        <w:spacing w:before="100" w:beforeAutospacing="1" w:after="100" w:afterAutospacing="1" w:line="560" w:lineRule="atLeast"/>
        <w:ind w:firstLine="640"/>
        <w:jc w:val="both"/>
      </w:pPr>
      <w:r>
        <w:rPr>
          <w:rFonts w:hint="eastAsia" w:ascii="黑体" w:hAnsi="黑体" w:eastAsia="黑体"/>
          <w:b/>
          <w:bCs/>
          <w:sz w:val="32"/>
          <w:szCs w:val="32"/>
        </w:rPr>
        <w:t>三、支出决算情况说明</w:t>
      </w:r>
    </w:p>
    <w:p>
      <w:pPr>
        <w:spacing w:before="100" w:beforeAutospacing="1" w:after="100" w:afterAutospacing="1" w:line="560" w:lineRule="atLeast"/>
        <w:ind w:firstLine="640"/>
        <w:jc w:val="both"/>
      </w:pPr>
      <w:r>
        <w:rPr>
          <w:rFonts w:hint="eastAsia"/>
          <w:sz w:val="32"/>
          <w:szCs w:val="32"/>
          <w:lang w:eastAsia="zh-CN"/>
        </w:rPr>
        <w:t>包头市人民政府国有资产监督管理委员会（部门）</w:t>
      </w:r>
      <w:r>
        <w:rPr>
          <w:rFonts w:hint="eastAsia"/>
          <w:sz w:val="32"/>
          <w:szCs w:val="32"/>
        </w:rPr>
        <w:t>单位2022年度本年支出决算合计</w:t>
      </w:r>
      <w:r>
        <w:rPr>
          <w:rFonts w:ascii="Times New Roman" w:hAnsi="Times New Roman" w:cs="Times New Roman"/>
          <w:sz w:val="32"/>
          <w:szCs w:val="32"/>
          <w:u w:val="single"/>
        </w:rPr>
        <w:t>38,955.83</w:t>
      </w:r>
      <w:r>
        <w:rPr>
          <w:rFonts w:hint="eastAsia"/>
          <w:sz w:val="32"/>
          <w:szCs w:val="32"/>
        </w:rPr>
        <w:t>万元，其中：</w:t>
      </w:r>
    </w:p>
    <w:p>
      <w:pPr>
        <w:spacing w:before="100" w:beforeAutospacing="1" w:after="100" w:afterAutospacing="1" w:line="560" w:lineRule="atLeast"/>
        <w:ind w:firstLine="640"/>
        <w:jc w:val="both"/>
      </w:pPr>
      <w:r>
        <w:rPr>
          <w:rFonts w:hint="eastAsia"/>
          <w:sz w:val="32"/>
          <w:szCs w:val="32"/>
        </w:rPr>
        <w:t>本年基本支出</w:t>
      </w:r>
      <w:r>
        <w:rPr>
          <w:rFonts w:ascii="Times New Roman" w:hAnsi="Times New Roman" w:cs="Times New Roman"/>
          <w:sz w:val="32"/>
          <w:szCs w:val="32"/>
          <w:u w:val="single"/>
        </w:rPr>
        <w:t>563.01</w:t>
      </w:r>
      <w:r>
        <w:rPr>
          <w:rFonts w:hint="eastAsia"/>
          <w:sz w:val="32"/>
          <w:szCs w:val="32"/>
        </w:rPr>
        <w:t>万元，与上年相比增加</w:t>
      </w:r>
      <w:r>
        <w:rPr>
          <w:rFonts w:ascii="Times New Roman" w:hAnsi="Times New Roman" w:cs="Times New Roman"/>
          <w:sz w:val="32"/>
          <w:szCs w:val="32"/>
          <w:u w:val="single"/>
        </w:rPr>
        <w:t>87.09</w:t>
      </w:r>
      <w:r>
        <w:rPr>
          <w:rFonts w:hint="eastAsia"/>
          <w:sz w:val="32"/>
          <w:szCs w:val="32"/>
        </w:rPr>
        <w:t>万元，变动原因：2022年新增考录公务人员,占</w:t>
      </w:r>
      <w:r>
        <w:rPr>
          <w:rFonts w:ascii="Times New Roman" w:hAnsi="Times New Roman" w:cs="Times New Roman"/>
          <w:sz w:val="32"/>
          <w:szCs w:val="32"/>
          <w:u w:val="single"/>
        </w:rPr>
        <w:t>1.45</w:t>
      </w:r>
      <w:r>
        <w:rPr>
          <w:rFonts w:hint="eastAsia"/>
          <w:sz w:val="32"/>
          <w:szCs w:val="32"/>
        </w:rPr>
        <w:t>%；</w:t>
      </w:r>
    </w:p>
    <w:p>
      <w:pPr>
        <w:ind w:firstLine="640" w:firstLineChars="200"/>
        <w:jc w:val="both"/>
        <w:rPr>
          <w:rFonts w:cs="Arial"/>
          <w:b/>
          <w:bCs/>
          <w:sz w:val="22"/>
          <w:szCs w:val="22"/>
        </w:rPr>
      </w:pPr>
      <w:r>
        <w:rPr>
          <w:rFonts w:hint="eastAsia"/>
          <w:sz w:val="32"/>
          <w:szCs w:val="32"/>
        </w:rPr>
        <w:t>本年项目支出</w:t>
      </w:r>
      <w:r>
        <w:rPr>
          <w:rFonts w:ascii="Times New Roman" w:hAnsi="Times New Roman" w:cs="Times New Roman"/>
          <w:sz w:val="32"/>
          <w:szCs w:val="32"/>
          <w:u w:val="single"/>
        </w:rPr>
        <w:t>38,392.82</w:t>
      </w:r>
      <w:r>
        <w:rPr>
          <w:rFonts w:hint="eastAsia"/>
          <w:sz w:val="32"/>
          <w:szCs w:val="32"/>
        </w:rPr>
        <w:t>万元，与上年相比增加</w:t>
      </w:r>
      <w:r>
        <w:rPr>
          <w:rFonts w:ascii="Times New Roman" w:hAnsi="Times New Roman" w:cs="Times New Roman"/>
          <w:sz w:val="32"/>
          <w:szCs w:val="32"/>
          <w:u w:val="single"/>
        </w:rPr>
        <w:t>37,392.04</w:t>
      </w:r>
      <w:r>
        <w:rPr>
          <w:rFonts w:hint="eastAsia"/>
          <w:sz w:val="32"/>
          <w:szCs w:val="32"/>
        </w:rPr>
        <w:t>万元，变动原因：本年度增加财政专项资金拨款,占</w:t>
      </w:r>
      <w:r>
        <w:rPr>
          <w:rFonts w:ascii="Times New Roman" w:hAnsi="Times New Roman" w:cs="Times New Roman"/>
          <w:sz w:val="32"/>
          <w:szCs w:val="32"/>
          <w:u w:val="single"/>
        </w:rPr>
        <w:t>97.39</w:t>
      </w:r>
      <w:r>
        <w:rPr>
          <w:rFonts w:hint="eastAsia"/>
          <w:sz w:val="32"/>
          <w:szCs w:val="32"/>
        </w:rPr>
        <w:t>%；本年上缴上级支出</w:t>
      </w:r>
      <w:r>
        <w:rPr>
          <w:rFonts w:ascii="Times New Roman" w:hAnsi="Times New Roman" w:cs="Times New Roman"/>
          <w:sz w:val="32"/>
          <w:szCs w:val="32"/>
          <w:u w:val="single"/>
        </w:rPr>
        <w:t>0.00</w:t>
      </w:r>
      <w:r>
        <w:rPr>
          <w:rFonts w:hint="eastAsia"/>
          <w:sz w:val="32"/>
          <w:szCs w:val="32"/>
        </w:rPr>
        <w:t>万元，与上年相比增加（减少）</w:t>
      </w:r>
      <w:r>
        <w:rPr>
          <w:rFonts w:ascii="Times New Roman" w:hAnsi="Times New Roman" w:cs="Times New Roman"/>
          <w:sz w:val="32"/>
          <w:szCs w:val="32"/>
          <w:u w:val="single"/>
        </w:rPr>
        <w:t>0.00</w:t>
      </w:r>
      <w:r>
        <w:rPr>
          <w:rFonts w:hint="eastAsia"/>
          <w:sz w:val="32"/>
          <w:szCs w:val="32"/>
        </w:rPr>
        <w:t>万元，占</w:t>
      </w:r>
      <w:r>
        <w:rPr>
          <w:rFonts w:ascii="Times New Roman" w:hAnsi="Times New Roman" w:cs="Times New Roman"/>
          <w:sz w:val="32"/>
          <w:szCs w:val="32"/>
          <w:u w:val="single"/>
        </w:rPr>
        <w:t>0.00</w:t>
      </w:r>
      <w:r>
        <w:rPr>
          <w:rFonts w:hint="eastAsia"/>
          <w:sz w:val="32"/>
          <w:szCs w:val="32"/>
        </w:rPr>
        <w:t>%；</w:t>
      </w:r>
      <w:r>
        <w:rPr>
          <w:rFonts w:hint="eastAsia" w:cs="仿宋_GB2312"/>
          <w:kern w:val="2"/>
          <w:sz w:val="32"/>
          <w:szCs w:val="32"/>
        </w:rPr>
        <w:t>变动原因：本单位不涉及。</w:t>
      </w:r>
    </w:p>
    <w:p>
      <w:pPr>
        <w:spacing w:before="100" w:beforeAutospacing="1" w:after="100" w:afterAutospacing="1" w:line="560" w:lineRule="atLeast"/>
        <w:ind w:firstLine="640"/>
        <w:jc w:val="both"/>
        <w:rPr>
          <w:b/>
        </w:rPr>
      </w:pPr>
      <w:r>
        <w:rPr>
          <w:rFonts w:hint="eastAsia"/>
          <w:sz w:val="32"/>
          <w:szCs w:val="32"/>
        </w:rPr>
        <w:t>本年经营支出</w:t>
      </w:r>
      <w:r>
        <w:rPr>
          <w:rFonts w:ascii="Times New Roman" w:hAnsi="Times New Roman" w:cs="Times New Roman"/>
          <w:sz w:val="32"/>
          <w:szCs w:val="32"/>
          <w:u w:val="single"/>
        </w:rPr>
        <w:t>0.00</w:t>
      </w:r>
      <w:r>
        <w:rPr>
          <w:rFonts w:hint="eastAsia"/>
          <w:sz w:val="32"/>
          <w:szCs w:val="32"/>
        </w:rPr>
        <w:t>万元，与上年相比增加（减少）</w:t>
      </w:r>
      <w:r>
        <w:rPr>
          <w:rFonts w:ascii="Times New Roman" w:hAnsi="Times New Roman" w:cs="Times New Roman"/>
          <w:sz w:val="32"/>
          <w:szCs w:val="32"/>
          <w:u w:val="single"/>
        </w:rPr>
        <w:t>0.00</w:t>
      </w:r>
      <w:r>
        <w:rPr>
          <w:rFonts w:hint="eastAsia"/>
          <w:sz w:val="32"/>
          <w:szCs w:val="32"/>
        </w:rPr>
        <w:t>万元，占</w:t>
      </w:r>
      <w:r>
        <w:rPr>
          <w:rFonts w:ascii="Times New Roman" w:hAnsi="Times New Roman" w:cs="Times New Roman"/>
          <w:sz w:val="32"/>
          <w:szCs w:val="32"/>
          <w:u w:val="single"/>
        </w:rPr>
        <w:t>0.00</w:t>
      </w:r>
      <w:r>
        <w:rPr>
          <w:rFonts w:hint="eastAsia"/>
          <w:sz w:val="32"/>
          <w:szCs w:val="32"/>
        </w:rPr>
        <w:t>%；</w:t>
      </w:r>
      <w:r>
        <w:rPr>
          <w:rFonts w:hint="eastAsia" w:cs="仿宋_GB2312"/>
          <w:kern w:val="2"/>
          <w:sz w:val="32"/>
          <w:szCs w:val="32"/>
        </w:rPr>
        <w:t>变动原因：本单位不涉及。</w:t>
      </w:r>
    </w:p>
    <w:p>
      <w:pPr>
        <w:spacing w:before="100" w:beforeAutospacing="1" w:after="100" w:afterAutospacing="1" w:line="560" w:lineRule="atLeast"/>
        <w:ind w:firstLine="640"/>
        <w:jc w:val="both"/>
        <w:rPr>
          <w:rFonts w:cs="仿宋_GB2312"/>
          <w:kern w:val="2"/>
          <w:sz w:val="32"/>
          <w:szCs w:val="32"/>
        </w:rPr>
      </w:pPr>
      <w:r>
        <w:rPr>
          <w:rFonts w:hint="eastAsia"/>
          <w:sz w:val="32"/>
          <w:szCs w:val="32"/>
        </w:rPr>
        <w:t>本年对附属单位补助支出</w:t>
      </w:r>
      <w:r>
        <w:rPr>
          <w:rFonts w:ascii="Times New Roman" w:hAnsi="Times New Roman" w:cs="Times New Roman"/>
          <w:sz w:val="32"/>
          <w:szCs w:val="32"/>
          <w:u w:val="single"/>
        </w:rPr>
        <w:t>0.00</w:t>
      </w:r>
      <w:r>
        <w:rPr>
          <w:rFonts w:hint="eastAsia"/>
          <w:sz w:val="32"/>
          <w:szCs w:val="32"/>
        </w:rPr>
        <w:t>万元，与上年相比增加（减少）</w:t>
      </w:r>
      <w:r>
        <w:rPr>
          <w:rFonts w:ascii="Times New Roman" w:hAnsi="Times New Roman" w:cs="Times New Roman"/>
          <w:sz w:val="32"/>
          <w:szCs w:val="32"/>
          <w:u w:val="single"/>
        </w:rPr>
        <w:t>0.00</w:t>
      </w:r>
      <w:r>
        <w:rPr>
          <w:rFonts w:hint="eastAsia"/>
          <w:sz w:val="32"/>
          <w:szCs w:val="32"/>
        </w:rPr>
        <w:t>万元，占</w:t>
      </w:r>
      <w:r>
        <w:rPr>
          <w:rFonts w:ascii="Times New Roman" w:hAnsi="Times New Roman" w:cs="Times New Roman"/>
          <w:sz w:val="32"/>
          <w:szCs w:val="32"/>
          <w:u w:val="single"/>
        </w:rPr>
        <w:t>0.00</w:t>
      </w:r>
      <w:r>
        <w:rPr>
          <w:rFonts w:hint="eastAsia"/>
          <w:sz w:val="32"/>
          <w:szCs w:val="32"/>
        </w:rPr>
        <w:t>%。</w:t>
      </w:r>
      <w:r>
        <w:rPr>
          <w:rFonts w:hint="eastAsia" w:cs="仿宋_GB2312"/>
          <w:kern w:val="2"/>
          <w:sz w:val="32"/>
          <w:szCs w:val="32"/>
        </w:rPr>
        <w:t>变动原因：本单位不涉及。</w:t>
      </w:r>
    </w:p>
    <w:p>
      <w:pPr>
        <w:spacing w:before="100" w:beforeAutospacing="1" w:after="100" w:afterAutospacing="1" w:line="560" w:lineRule="atLeast"/>
        <w:ind w:firstLine="640"/>
        <w:jc w:val="both"/>
      </w:pPr>
      <w:r>
        <w:rPr>
          <w:rFonts w:hint="eastAsia"/>
          <w:sz w:val="32"/>
          <w:szCs w:val="32"/>
        </w:rPr>
        <w:t>包头市国资国企改革发展促进中心单位2022年度本年支出决算合计</w:t>
      </w:r>
      <w:r>
        <w:rPr>
          <w:rFonts w:ascii="Times New Roman" w:hAnsi="Times New Roman" w:cs="Times New Roman"/>
          <w:sz w:val="32"/>
          <w:szCs w:val="32"/>
        </w:rPr>
        <w:t>254.88</w:t>
      </w:r>
      <w:r>
        <w:rPr>
          <w:rFonts w:hint="eastAsia"/>
          <w:sz w:val="32"/>
          <w:szCs w:val="32"/>
        </w:rPr>
        <w:t>万元，其中：</w:t>
      </w:r>
    </w:p>
    <w:p>
      <w:pPr>
        <w:spacing w:before="100" w:beforeAutospacing="1" w:after="100" w:afterAutospacing="1" w:line="560" w:lineRule="atLeast"/>
        <w:ind w:firstLine="640"/>
        <w:jc w:val="both"/>
      </w:pPr>
      <w:r>
        <w:rPr>
          <w:rFonts w:hint="eastAsia"/>
          <w:sz w:val="32"/>
          <w:szCs w:val="32"/>
        </w:rPr>
        <w:t>本年基本支出</w:t>
      </w:r>
      <w:r>
        <w:rPr>
          <w:rFonts w:ascii="Times New Roman" w:hAnsi="Times New Roman" w:cs="Times New Roman"/>
          <w:sz w:val="32"/>
          <w:szCs w:val="32"/>
        </w:rPr>
        <w:t>140.39</w:t>
      </w:r>
      <w:r>
        <w:rPr>
          <w:rFonts w:hint="eastAsia"/>
          <w:sz w:val="32"/>
          <w:szCs w:val="32"/>
        </w:rPr>
        <w:t>万元，与上年相比增加</w:t>
      </w:r>
      <w:r>
        <w:rPr>
          <w:rFonts w:ascii="Times New Roman" w:hAnsi="Times New Roman" w:cs="Times New Roman"/>
          <w:sz w:val="32"/>
          <w:szCs w:val="32"/>
        </w:rPr>
        <w:t>140.39</w:t>
      </w:r>
      <w:r>
        <w:rPr>
          <w:rFonts w:hint="eastAsia"/>
          <w:sz w:val="32"/>
          <w:szCs w:val="32"/>
        </w:rPr>
        <w:t>万元，变动原因：单位上年新成立,上年无支出，占</w:t>
      </w:r>
      <w:r>
        <w:rPr>
          <w:rFonts w:ascii="Times New Roman" w:hAnsi="Times New Roman" w:cs="Times New Roman"/>
          <w:sz w:val="32"/>
          <w:szCs w:val="32"/>
        </w:rPr>
        <w:t>55.08</w:t>
      </w:r>
      <w:r>
        <w:rPr>
          <w:rFonts w:hint="eastAsia"/>
          <w:sz w:val="32"/>
          <w:szCs w:val="32"/>
        </w:rPr>
        <w:t>%；</w:t>
      </w:r>
    </w:p>
    <w:p>
      <w:pPr>
        <w:spacing w:before="100" w:beforeAutospacing="1" w:after="100" w:afterAutospacing="1" w:line="560" w:lineRule="atLeast"/>
        <w:ind w:firstLine="640"/>
        <w:jc w:val="both"/>
      </w:pPr>
      <w:r>
        <w:rPr>
          <w:rFonts w:hint="eastAsia"/>
          <w:sz w:val="32"/>
          <w:szCs w:val="32"/>
        </w:rPr>
        <w:t>本年项目支出</w:t>
      </w:r>
      <w:r>
        <w:rPr>
          <w:rFonts w:ascii="Times New Roman" w:hAnsi="Times New Roman" w:cs="Times New Roman"/>
          <w:sz w:val="32"/>
          <w:szCs w:val="32"/>
        </w:rPr>
        <w:t>114.49</w:t>
      </w:r>
      <w:r>
        <w:rPr>
          <w:rFonts w:hint="eastAsia"/>
          <w:sz w:val="32"/>
          <w:szCs w:val="32"/>
        </w:rPr>
        <w:t>万元，与上年相比增加</w:t>
      </w:r>
      <w:r>
        <w:rPr>
          <w:rFonts w:ascii="Times New Roman" w:hAnsi="Times New Roman" w:cs="Times New Roman"/>
          <w:sz w:val="32"/>
          <w:szCs w:val="32"/>
        </w:rPr>
        <w:t>114.49</w:t>
      </w:r>
      <w:r>
        <w:rPr>
          <w:rFonts w:hint="eastAsia"/>
          <w:sz w:val="32"/>
          <w:szCs w:val="32"/>
        </w:rPr>
        <w:t>万元，变动原因：单位上年新成立,上年无支出,占</w:t>
      </w:r>
      <w:r>
        <w:rPr>
          <w:rFonts w:ascii="Times New Roman" w:hAnsi="Times New Roman" w:cs="Times New Roman"/>
          <w:sz w:val="32"/>
          <w:szCs w:val="32"/>
        </w:rPr>
        <w:t>44.92</w:t>
      </w:r>
      <w:r>
        <w:rPr>
          <w:rFonts w:hint="eastAsia"/>
          <w:sz w:val="32"/>
          <w:szCs w:val="32"/>
        </w:rPr>
        <w:t>%；</w:t>
      </w:r>
    </w:p>
    <w:p>
      <w:pPr>
        <w:spacing w:before="100" w:beforeAutospacing="1" w:after="100" w:afterAutospacing="1" w:line="560" w:lineRule="atLeast"/>
        <w:ind w:firstLine="640"/>
        <w:jc w:val="both"/>
      </w:pPr>
      <w:r>
        <w:rPr>
          <w:rFonts w:hint="eastAsia"/>
          <w:sz w:val="32"/>
          <w:szCs w:val="32"/>
        </w:rPr>
        <w:t>本年上缴上级支出</w:t>
      </w:r>
      <w:r>
        <w:rPr>
          <w:rFonts w:ascii="Times New Roman" w:hAnsi="Times New Roman" w:cs="Times New Roman"/>
          <w:sz w:val="32"/>
          <w:szCs w:val="32"/>
        </w:rPr>
        <w:t>0.00</w:t>
      </w:r>
      <w:r>
        <w:rPr>
          <w:rFonts w:hint="eastAsia"/>
          <w:sz w:val="32"/>
          <w:szCs w:val="32"/>
        </w:rPr>
        <w:t>万元，与上年相比增加</w:t>
      </w:r>
      <w:r>
        <w:rPr>
          <w:rFonts w:ascii="Times New Roman" w:hAnsi="Times New Roman" w:cs="Times New Roman"/>
          <w:sz w:val="32"/>
          <w:szCs w:val="32"/>
        </w:rPr>
        <w:t>0.00</w:t>
      </w:r>
      <w:r>
        <w:rPr>
          <w:rFonts w:hint="eastAsia"/>
          <w:sz w:val="32"/>
          <w:szCs w:val="32"/>
        </w:rPr>
        <w:t>万元，变动原因：无此项业务支出,占</w:t>
      </w:r>
      <w:r>
        <w:rPr>
          <w:rFonts w:ascii="Times New Roman" w:hAnsi="Times New Roman" w:cs="Times New Roman"/>
          <w:sz w:val="32"/>
          <w:szCs w:val="32"/>
        </w:rPr>
        <w:t>0.00</w:t>
      </w:r>
      <w:r>
        <w:rPr>
          <w:rFonts w:hint="eastAsia"/>
          <w:sz w:val="32"/>
          <w:szCs w:val="32"/>
        </w:rPr>
        <w:t>%；</w:t>
      </w:r>
    </w:p>
    <w:p>
      <w:pPr>
        <w:spacing w:before="100" w:beforeAutospacing="1" w:after="100" w:afterAutospacing="1" w:line="560" w:lineRule="atLeast"/>
        <w:ind w:firstLine="640"/>
        <w:jc w:val="both"/>
        <w:rPr>
          <w:sz w:val="32"/>
          <w:szCs w:val="32"/>
        </w:rPr>
      </w:pPr>
      <w:r>
        <w:rPr>
          <w:rFonts w:hint="eastAsia"/>
          <w:sz w:val="32"/>
          <w:szCs w:val="32"/>
        </w:rPr>
        <w:t>本年经营支出</w:t>
      </w:r>
      <w:r>
        <w:rPr>
          <w:rFonts w:ascii="Times New Roman" w:hAnsi="Times New Roman" w:cs="Times New Roman"/>
          <w:sz w:val="32"/>
          <w:szCs w:val="32"/>
        </w:rPr>
        <w:t>0.00</w:t>
      </w:r>
      <w:r>
        <w:rPr>
          <w:rFonts w:hint="eastAsia"/>
          <w:sz w:val="32"/>
          <w:szCs w:val="32"/>
        </w:rPr>
        <w:t>万元，与上年相比增加</w:t>
      </w:r>
      <w:r>
        <w:rPr>
          <w:rFonts w:ascii="Times New Roman" w:hAnsi="Times New Roman" w:cs="Times New Roman"/>
          <w:sz w:val="32"/>
          <w:szCs w:val="32"/>
        </w:rPr>
        <w:t>0.00</w:t>
      </w:r>
      <w:r>
        <w:rPr>
          <w:rFonts w:hint="eastAsia"/>
          <w:sz w:val="32"/>
          <w:szCs w:val="32"/>
        </w:rPr>
        <w:t>万元，变动原因：无此项业务支出,占</w:t>
      </w:r>
      <w:r>
        <w:rPr>
          <w:rFonts w:hint="eastAsia" w:ascii="Times New Roman" w:hAnsi="Times New Roman" w:cs="Times New Roman"/>
          <w:sz w:val="32"/>
          <w:szCs w:val="32"/>
        </w:rPr>
        <w:t>0.00%；</w:t>
      </w:r>
    </w:p>
    <w:p>
      <w:pPr>
        <w:spacing w:before="100" w:beforeAutospacing="1" w:after="100" w:afterAutospacing="1" w:line="560" w:lineRule="atLeast"/>
        <w:ind w:firstLine="640"/>
        <w:jc w:val="both"/>
      </w:pPr>
      <w:r>
        <w:rPr>
          <w:rFonts w:hint="eastAsia"/>
          <w:sz w:val="32"/>
          <w:szCs w:val="32"/>
        </w:rPr>
        <w:t>本年对附属单位补助支出</w:t>
      </w:r>
      <w:r>
        <w:rPr>
          <w:rFonts w:ascii="Times New Roman" w:hAnsi="Times New Roman" w:cs="Times New Roman"/>
          <w:sz w:val="32"/>
          <w:szCs w:val="32"/>
        </w:rPr>
        <w:t>0.00</w:t>
      </w:r>
      <w:r>
        <w:rPr>
          <w:rFonts w:hint="eastAsia"/>
          <w:sz w:val="32"/>
          <w:szCs w:val="32"/>
        </w:rPr>
        <w:t>万元，与上年相比增加</w:t>
      </w:r>
      <w:r>
        <w:rPr>
          <w:rFonts w:ascii="Times New Roman" w:hAnsi="Times New Roman" w:cs="Times New Roman"/>
          <w:sz w:val="32"/>
          <w:szCs w:val="32"/>
        </w:rPr>
        <w:t>0.00</w:t>
      </w:r>
      <w:r>
        <w:rPr>
          <w:rFonts w:hint="eastAsia"/>
          <w:sz w:val="32"/>
          <w:szCs w:val="32"/>
        </w:rPr>
        <w:t>万元，变动原因：无此项业务支出,占</w:t>
      </w:r>
      <w:r>
        <w:rPr>
          <w:rFonts w:ascii="Times New Roman" w:hAnsi="Times New Roman" w:cs="Times New Roman"/>
          <w:sz w:val="32"/>
          <w:szCs w:val="32"/>
        </w:rPr>
        <w:t>0.00</w:t>
      </w:r>
      <w:r>
        <w:rPr>
          <w:rFonts w:hint="eastAsia"/>
          <w:sz w:val="32"/>
          <w:szCs w:val="32"/>
        </w:rPr>
        <w:t>%。</w:t>
      </w:r>
      <w:r>
        <w:rPr>
          <w:rFonts w:ascii="Times New Roman" w:hAnsi="Times New Roman" w:cs="Times New Roman"/>
          <w:sz w:val="32"/>
          <w:szCs w:val="32"/>
        </w:rPr>
        <w:t xml:space="preserve">  </w:t>
      </w:r>
    </w:p>
    <w:p>
      <w:pPr>
        <w:spacing w:before="100" w:beforeAutospacing="1" w:after="100" w:afterAutospacing="1" w:line="600" w:lineRule="atLeast"/>
        <w:ind w:firstLine="643"/>
        <w:jc w:val="both"/>
      </w:pPr>
      <w:r>
        <w:rPr>
          <w:rFonts w:hint="eastAsia" w:ascii="黑体" w:hAnsi="黑体" w:eastAsia="黑体"/>
          <w:b/>
          <w:bCs/>
          <w:sz w:val="32"/>
          <w:szCs w:val="32"/>
        </w:rPr>
        <w:t>四、财政拨款收入支出决算总体情况说明</w:t>
      </w:r>
    </w:p>
    <w:p>
      <w:pPr>
        <w:spacing w:before="100" w:beforeAutospacing="1" w:after="100" w:afterAutospacing="1" w:line="560" w:lineRule="atLeast"/>
        <w:ind w:firstLine="640"/>
        <w:jc w:val="both"/>
        <w:rPr>
          <w:sz w:val="32"/>
          <w:szCs w:val="32"/>
        </w:rPr>
      </w:pPr>
      <w:r>
        <w:rPr>
          <w:rFonts w:hint="eastAsia"/>
          <w:sz w:val="32"/>
          <w:szCs w:val="32"/>
          <w:lang w:eastAsia="zh-CN"/>
        </w:rPr>
        <w:t>包头市人民政府国有资产监督管理委员会（部门）</w:t>
      </w:r>
      <w:r>
        <w:rPr>
          <w:rFonts w:hint="eastAsia"/>
          <w:sz w:val="32"/>
          <w:szCs w:val="32"/>
        </w:rPr>
        <w:t>单位</w:t>
      </w:r>
      <w:r>
        <w:rPr>
          <w:rFonts w:ascii="Times New Roman" w:hAnsi="Times New Roman" w:cs="Times New Roman"/>
          <w:sz w:val="32"/>
          <w:szCs w:val="32"/>
        </w:rPr>
        <w:t xml:space="preserve"> </w:t>
      </w:r>
      <w:r>
        <w:rPr>
          <w:rFonts w:hint="eastAsia"/>
          <w:sz w:val="32"/>
          <w:szCs w:val="32"/>
        </w:rPr>
        <w:t>2022年度财政拨款收入、支出决算总计</w:t>
      </w:r>
      <w:r>
        <w:rPr>
          <w:rFonts w:ascii="Times New Roman" w:hAnsi="Times New Roman" w:cs="Times New Roman"/>
          <w:sz w:val="32"/>
          <w:szCs w:val="32"/>
          <w:u w:val="single"/>
        </w:rPr>
        <w:t>38,955.83</w:t>
      </w:r>
      <w:r>
        <w:rPr>
          <w:rFonts w:hint="eastAsia"/>
          <w:sz w:val="32"/>
          <w:szCs w:val="32"/>
        </w:rPr>
        <w:t>万元，与年初预算相比，收、支总计各增加</w:t>
      </w:r>
      <w:r>
        <w:rPr>
          <w:rFonts w:ascii="Times New Roman" w:hAnsi="Times New Roman" w:cs="Times New Roman"/>
          <w:sz w:val="32"/>
          <w:szCs w:val="32"/>
          <w:u w:val="single"/>
        </w:rPr>
        <w:t>38,559.49</w:t>
      </w:r>
      <w:r>
        <w:rPr>
          <w:rFonts w:hint="eastAsia"/>
          <w:sz w:val="32"/>
          <w:szCs w:val="32"/>
        </w:rPr>
        <w:t>万元，增长</w:t>
      </w:r>
      <w:r>
        <w:rPr>
          <w:rFonts w:ascii="Times New Roman" w:hAnsi="Times New Roman" w:cs="Times New Roman"/>
          <w:sz w:val="32"/>
          <w:szCs w:val="32"/>
          <w:u w:val="single"/>
        </w:rPr>
        <w:t>9,729.10</w:t>
      </w:r>
      <w:r>
        <w:rPr>
          <w:rFonts w:hint="eastAsia"/>
          <w:sz w:val="32"/>
          <w:szCs w:val="32"/>
        </w:rPr>
        <w:t>%，变动原因：本年度增加财政专项资金拨款；与上年决算相比，收、支总计各增加</w:t>
      </w:r>
      <w:r>
        <w:rPr>
          <w:rFonts w:ascii="Times New Roman" w:hAnsi="Times New Roman" w:cs="Times New Roman"/>
          <w:sz w:val="32"/>
          <w:szCs w:val="32"/>
          <w:u w:val="single"/>
        </w:rPr>
        <w:t>37,461.36</w:t>
      </w:r>
      <w:r>
        <w:rPr>
          <w:rFonts w:hint="eastAsia"/>
          <w:sz w:val="32"/>
          <w:szCs w:val="32"/>
        </w:rPr>
        <w:t>万元，增长</w:t>
      </w:r>
      <w:r>
        <w:rPr>
          <w:rFonts w:ascii="Times New Roman" w:hAnsi="Times New Roman" w:cs="Times New Roman"/>
          <w:sz w:val="30"/>
          <w:szCs w:val="30"/>
          <w:u w:val="single"/>
        </w:rPr>
        <w:t>2,506.67</w:t>
      </w:r>
      <w:r>
        <w:rPr>
          <w:rFonts w:hint="eastAsia"/>
          <w:sz w:val="32"/>
          <w:szCs w:val="32"/>
        </w:rPr>
        <w:t>%，变动原因：本年度增加财政专项资金拨款。</w:t>
      </w:r>
    </w:p>
    <w:p>
      <w:pPr>
        <w:spacing w:before="100" w:beforeAutospacing="1" w:after="100" w:afterAutospacing="1" w:line="560" w:lineRule="atLeast"/>
        <w:ind w:firstLine="640"/>
        <w:jc w:val="both"/>
      </w:pPr>
      <w:r>
        <w:rPr>
          <w:rFonts w:hint="eastAsia"/>
          <w:sz w:val="32"/>
          <w:szCs w:val="32"/>
        </w:rPr>
        <w:t>包头市国资国企改革发展促进中心单位</w:t>
      </w:r>
      <w:r>
        <w:rPr>
          <w:rFonts w:ascii="Times New Roman" w:hAnsi="Times New Roman" w:cs="Times New Roman"/>
          <w:sz w:val="32"/>
          <w:szCs w:val="32"/>
        </w:rPr>
        <w:t xml:space="preserve"> </w:t>
      </w:r>
      <w:r>
        <w:rPr>
          <w:rFonts w:hint="eastAsia"/>
          <w:sz w:val="32"/>
          <w:szCs w:val="32"/>
        </w:rPr>
        <w:t>2022年度财政拨款收入、支出决算总计</w:t>
      </w:r>
      <w:r>
        <w:rPr>
          <w:rFonts w:ascii="Times New Roman" w:hAnsi="Times New Roman" w:cs="Times New Roman"/>
          <w:sz w:val="32"/>
          <w:szCs w:val="32"/>
        </w:rPr>
        <w:t>254.88</w:t>
      </w:r>
      <w:r>
        <w:rPr>
          <w:rFonts w:hint="eastAsia"/>
          <w:sz w:val="32"/>
          <w:szCs w:val="32"/>
        </w:rPr>
        <w:t>万元，与年初预算相比，收、支总计各增加</w:t>
      </w:r>
      <w:r>
        <w:rPr>
          <w:rFonts w:ascii="Times New Roman" w:hAnsi="Times New Roman" w:cs="Times New Roman"/>
          <w:sz w:val="32"/>
          <w:szCs w:val="32"/>
        </w:rPr>
        <w:t>117.84</w:t>
      </w:r>
      <w:r>
        <w:rPr>
          <w:rFonts w:hint="eastAsia"/>
          <w:sz w:val="32"/>
          <w:szCs w:val="32"/>
        </w:rPr>
        <w:t>万元，增长</w:t>
      </w:r>
      <w:r>
        <w:rPr>
          <w:rFonts w:ascii="Times New Roman" w:hAnsi="Times New Roman" w:cs="Times New Roman"/>
          <w:sz w:val="32"/>
          <w:szCs w:val="32"/>
        </w:rPr>
        <w:t>85.99</w:t>
      </w:r>
      <w:r>
        <w:rPr>
          <w:rFonts w:hint="eastAsia"/>
          <w:sz w:val="32"/>
          <w:szCs w:val="32"/>
        </w:rPr>
        <w:t>%，变动原因：单位上年新成立；与上年决算相比，收、支总计各增加</w:t>
      </w:r>
      <w:r>
        <w:rPr>
          <w:rFonts w:ascii="Times New Roman" w:hAnsi="Times New Roman" w:cs="Times New Roman"/>
          <w:sz w:val="32"/>
          <w:szCs w:val="32"/>
        </w:rPr>
        <w:t>254.88</w:t>
      </w:r>
      <w:r>
        <w:rPr>
          <w:rFonts w:hint="eastAsia"/>
          <w:sz w:val="32"/>
          <w:szCs w:val="32"/>
        </w:rPr>
        <w:t>万元，增长</w:t>
      </w:r>
      <w:r>
        <w:rPr>
          <w:rFonts w:ascii="Times New Roman" w:hAnsi="Times New Roman" w:cs="Times New Roman"/>
          <w:sz w:val="32"/>
          <w:szCs w:val="32"/>
        </w:rPr>
        <w:t>0.00%</w:t>
      </w:r>
      <w:r>
        <w:rPr>
          <w:rFonts w:hint="eastAsia"/>
          <w:sz w:val="32"/>
          <w:szCs w:val="32"/>
        </w:rPr>
        <w:t>，变动原因：单位上年新成立，上年无支出。</w:t>
      </w:r>
    </w:p>
    <w:p>
      <w:pPr>
        <w:spacing w:before="100" w:beforeAutospacing="1" w:after="100" w:afterAutospacing="1" w:line="560" w:lineRule="atLeast"/>
        <w:ind w:firstLine="640"/>
        <w:jc w:val="both"/>
      </w:pPr>
      <w:r>
        <w:rPr>
          <w:rFonts w:hint="eastAsia" w:ascii="黑体" w:hAnsi="黑体" w:eastAsia="黑体"/>
          <w:b/>
          <w:bCs/>
          <w:sz w:val="32"/>
          <w:szCs w:val="32"/>
        </w:rPr>
        <w:t>五、一般公共预算支出决算情况说明</w:t>
      </w:r>
    </w:p>
    <w:p>
      <w:pPr>
        <w:spacing w:before="100" w:beforeAutospacing="1" w:after="100" w:afterAutospacing="1" w:line="560" w:lineRule="atLeast"/>
        <w:ind w:firstLine="640"/>
        <w:jc w:val="both"/>
        <w:rPr>
          <w:sz w:val="32"/>
          <w:szCs w:val="32"/>
        </w:rPr>
      </w:pPr>
      <w:r>
        <w:rPr>
          <w:rFonts w:hint="eastAsia"/>
          <w:sz w:val="32"/>
          <w:szCs w:val="32"/>
          <w:lang w:eastAsia="zh-CN"/>
        </w:rPr>
        <w:t>包头市人民政府国有资产监督管理委员会（部门）</w:t>
      </w:r>
      <w:r>
        <w:rPr>
          <w:rFonts w:hint="eastAsia"/>
          <w:sz w:val="32"/>
          <w:szCs w:val="32"/>
        </w:rPr>
        <w:t>单位2022年度一般公共预算财政拨款支出决算</w:t>
      </w:r>
      <w:r>
        <w:rPr>
          <w:rFonts w:ascii="Times New Roman" w:hAnsi="Times New Roman" w:cs="Times New Roman"/>
          <w:sz w:val="32"/>
          <w:szCs w:val="32"/>
          <w:u w:val="single"/>
        </w:rPr>
        <w:t>1,129.76</w:t>
      </w:r>
      <w:r>
        <w:rPr>
          <w:rFonts w:hint="eastAsia"/>
          <w:sz w:val="32"/>
          <w:szCs w:val="32"/>
        </w:rPr>
        <w:t>万元。与年初预算</w:t>
      </w:r>
      <w:r>
        <w:rPr>
          <w:rFonts w:ascii="Times New Roman" w:hAnsi="Times New Roman" w:cs="Times New Roman"/>
          <w:sz w:val="32"/>
          <w:szCs w:val="32"/>
          <w:u w:val="single"/>
        </w:rPr>
        <w:t>396.33</w:t>
      </w:r>
      <w:r>
        <w:rPr>
          <w:rFonts w:hint="eastAsia"/>
          <w:sz w:val="32"/>
          <w:szCs w:val="32"/>
        </w:rPr>
        <w:t>万元相比，完成年初预算的</w:t>
      </w:r>
      <w:r>
        <w:rPr>
          <w:rFonts w:ascii="Times New Roman" w:hAnsi="Times New Roman" w:cs="Times New Roman"/>
          <w:sz w:val="32"/>
          <w:szCs w:val="32"/>
          <w:u w:val="single"/>
        </w:rPr>
        <w:t>285.05</w:t>
      </w:r>
      <w:r>
        <w:rPr>
          <w:rFonts w:hint="eastAsia"/>
          <w:sz w:val="32"/>
          <w:szCs w:val="32"/>
        </w:rPr>
        <w:t>%，其中：</w:t>
      </w:r>
    </w:p>
    <w:p>
      <w:pPr>
        <w:spacing w:before="100" w:beforeAutospacing="1" w:after="100" w:afterAutospacing="1" w:line="560" w:lineRule="atLeast"/>
        <w:ind w:firstLine="643"/>
        <w:jc w:val="both"/>
      </w:pPr>
      <w:r>
        <w:rPr>
          <w:rFonts w:hint="eastAsia" w:ascii="楷体" w:hAnsi="楷体" w:eastAsia="楷体"/>
          <w:b/>
          <w:bCs/>
          <w:sz w:val="32"/>
          <w:szCs w:val="32"/>
        </w:rPr>
        <w:t>（一）一般公共服务（类）</w:t>
      </w:r>
    </w:p>
    <w:p>
      <w:pPr>
        <w:spacing w:before="100" w:beforeAutospacing="1" w:after="100" w:afterAutospacing="1" w:line="560" w:lineRule="atLeast"/>
        <w:ind w:firstLine="640"/>
        <w:jc w:val="both"/>
      </w:pPr>
      <w:r>
        <w:rPr>
          <w:rFonts w:hint="eastAsia"/>
          <w:sz w:val="32"/>
          <w:szCs w:val="32"/>
        </w:rPr>
        <w:t>一般公共服务类决算数为</w:t>
      </w:r>
      <w:r>
        <w:rPr>
          <w:rFonts w:ascii="Times New Roman" w:hAnsi="Times New Roman" w:cs="Times New Roman"/>
          <w:sz w:val="30"/>
          <w:szCs w:val="30"/>
          <w:u w:val="single"/>
        </w:rPr>
        <w:t>4.57</w:t>
      </w:r>
      <w:r>
        <w:rPr>
          <w:rFonts w:hint="eastAsia"/>
          <w:sz w:val="32"/>
          <w:szCs w:val="32"/>
        </w:rPr>
        <w:t>万元，与年初预算相比增加</w:t>
      </w:r>
      <w:r>
        <w:rPr>
          <w:rFonts w:ascii="Times New Roman" w:hAnsi="Times New Roman" w:cs="Times New Roman"/>
          <w:sz w:val="32"/>
          <w:szCs w:val="32"/>
          <w:u w:val="single"/>
        </w:rPr>
        <w:t>4.57</w:t>
      </w:r>
      <w:r>
        <w:rPr>
          <w:rFonts w:hint="eastAsia"/>
          <w:sz w:val="32"/>
          <w:szCs w:val="32"/>
        </w:rPr>
        <w:t>万元。其中：</w:t>
      </w:r>
    </w:p>
    <w:p>
      <w:pPr>
        <w:spacing w:before="100" w:beforeAutospacing="1" w:after="100" w:afterAutospacing="1" w:line="560" w:lineRule="atLeast"/>
        <w:ind w:firstLine="640"/>
        <w:jc w:val="both"/>
      </w:pPr>
      <w:r>
        <w:rPr>
          <w:rFonts w:ascii="Times New Roman" w:hAnsi="Times New Roman" w:cs="Times New Roman"/>
          <w:sz w:val="32"/>
          <w:szCs w:val="32"/>
        </w:rPr>
        <w:t>1</w:t>
      </w:r>
      <w:r>
        <w:rPr>
          <w:rFonts w:hint="eastAsia"/>
          <w:sz w:val="32"/>
          <w:szCs w:val="32"/>
        </w:rPr>
        <w:t>．一般公共服务支出（款）其他共产党事务支出（项）。年初预算</w:t>
      </w:r>
      <w:r>
        <w:rPr>
          <w:rFonts w:ascii="Times New Roman" w:hAnsi="Times New Roman" w:cs="Times New Roman"/>
          <w:sz w:val="32"/>
          <w:szCs w:val="32"/>
          <w:u w:val="single"/>
        </w:rPr>
        <w:t>0</w:t>
      </w:r>
      <w:r>
        <w:rPr>
          <w:rFonts w:hint="eastAsia"/>
          <w:sz w:val="32"/>
          <w:szCs w:val="32"/>
        </w:rPr>
        <w:t>万元，支出决算</w:t>
      </w:r>
      <w:r>
        <w:rPr>
          <w:rFonts w:ascii="Times New Roman" w:hAnsi="Times New Roman" w:cs="Times New Roman"/>
          <w:sz w:val="32"/>
          <w:szCs w:val="32"/>
          <w:u w:val="single"/>
        </w:rPr>
        <w:t>4.57</w:t>
      </w:r>
      <w:r>
        <w:rPr>
          <w:rFonts w:hint="eastAsia"/>
          <w:sz w:val="32"/>
          <w:szCs w:val="32"/>
        </w:rPr>
        <w:t>万元，完成年初预算的</w:t>
      </w:r>
      <w:r>
        <w:rPr>
          <w:rFonts w:ascii="Times New Roman" w:hAnsi="Times New Roman" w:cs="Times New Roman"/>
          <w:sz w:val="32"/>
          <w:szCs w:val="32"/>
          <w:u w:val="single"/>
        </w:rPr>
        <w:t xml:space="preserve"> 100</w:t>
      </w:r>
      <w:r>
        <w:rPr>
          <w:rFonts w:hint="eastAsia"/>
          <w:sz w:val="32"/>
          <w:szCs w:val="32"/>
        </w:rPr>
        <w:t>%。决算数与年初预算数的差异原因：追加预算资金。</w:t>
      </w:r>
    </w:p>
    <w:p>
      <w:pPr>
        <w:spacing w:before="100" w:beforeAutospacing="1" w:after="100" w:afterAutospacing="1" w:line="560" w:lineRule="atLeast"/>
        <w:ind w:firstLine="643"/>
        <w:jc w:val="both"/>
      </w:pPr>
      <w:r>
        <w:rPr>
          <w:rFonts w:hint="eastAsia" w:ascii="楷体" w:hAnsi="楷体" w:eastAsia="楷体"/>
          <w:b/>
          <w:bCs/>
          <w:sz w:val="32"/>
          <w:szCs w:val="32"/>
        </w:rPr>
        <w:t>（二）社会保障和就业支出（类）</w:t>
      </w:r>
    </w:p>
    <w:p>
      <w:pPr>
        <w:spacing w:before="100" w:beforeAutospacing="1" w:after="100" w:afterAutospacing="1" w:line="560" w:lineRule="atLeast"/>
        <w:ind w:firstLine="640"/>
        <w:jc w:val="both"/>
      </w:pPr>
      <w:r>
        <w:rPr>
          <w:rFonts w:hint="eastAsia"/>
          <w:sz w:val="32"/>
          <w:szCs w:val="32"/>
        </w:rPr>
        <w:t>社会保障和就业支出类决算数为</w:t>
      </w:r>
      <w:r>
        <w:rPr>
          <w:rFonts w:ascii="Times New Roman" w:hAnsi="Times New Roman" w:cs="Times New Roman"/>
          <w:sz w:val="32"/>
          <w:szCs w:val="32"/>
          <w:u w:val="single"/>
        </w:rPr>
        <w:t>183.81</w:t>
      </w:r>
      <w:r>
        <w:rPr>
          <w:rFonts w:hint="eastAsia"/>
          <w:sz w:val="32"/>
          <w:szCs w:val="32"/>
        </w:rPr>
        <w:t>万元，与年初预算相比增加</w:t>
      </w:r>
      <w:r>
        <w:rPr>
          <w:rFonts w:ascii="Times New Roman" w:hAnsi="Times New Roman" w:cs="Times New Roman"/>
          <w:sz w:val="32"/>
          <w:szCs w:val="32"/>
          <w:u w:val="single"/>
        </w:rPr>
        <w:t>149.91</w:t>
      </w:r>
      <w:r>
        <w:rPr>
          <w:rFonts w:hint="eastAsia"/>
          <w:sz w:val="32"/>
          <w:szCs w:val="32"/>
        </w:rPr>
        <w:t>万元。其中：</w:t>
      </w:r>
    </w:p>
    <w:p>
      <w:pPr>
        <w:spacing w:before="100" w:beforeAutospacing="1" w:after="100" w:afterAutospacing="1" w:line="560" w:lineRule="atLeast"/>
        <w:ind w:firstLine="640"/>
        <w:jc w:val="both"/>
      </w:pPr>
      <w:r>
        <w:rPr>
          <w:rFonts w:ascii="Times New Roman" w:hAnsi="Times New Roman" w:cs="Times New Roman"/>
          <w:sz w:val="32"/>
          <w:szCs w:val="32"/>
        </w:rPr>
        <w:t>1</w:t>
      </w:r>
      <w:r>
        <w:rPr>
          <w:rFonts w:hint="eastAsia"/>
          <w:sz w:val="32"/>
          <w:szCs w:val="32"/>
        </w:rPr>
        <w:t>．行政事业单位养老支出（款）行政单位离退休（项）。年初预算</w:t>
      </w:r>
      <w:r>
        <w:rPr>
          <w:rFonts w:ascii="Times New Roman" w:hAnsi="Times New Roman" w:cs="Times New Roman"/>
          <w:sz w:val="32"/>
          <w:szCs w:val="32"/>
          <w:u w:val="single"/>
        </w:rPr>
        <w:t>2.23</w:t>
      </w:r>
      <w:r>
        <w:rPr>
          <w:rFonts w:hint="eastAsia"/>
          <w:sz w:val="32"/>
          <w:szCs w:val="32"/>
        </w:rPr>
        <w:t>万元，支出决算</w:t>
      </w:r>
      <w:r>
        <w:rPr>
          <w:rFonts w:ascii="Times New Roman" w:hAnsi="Times New Roman" w:cs="Times New Roman"/>
          <w:sz w:val="30"/>
          <w:szCs w:val="30"/>
          <w:u w:val="single"/>
        </w:rPr>
        <w:t>130.2</w:t>
      </w:r>
      <w:r>
        <w:rPr>
          <w:rFonts w:hint="eastAsia"/>
          <w:sz w:val="32"/>
          <w:szCs w:val="32"/>
        </w:rPr>
        <w:t>万元，完成年初预算的</w:t>
      </w:r>
      <w:r>
        <w:rPr>
          <w:rFonts w:ascii="Times New Roman" w:hAnsi="Times New Roman" w:cs="Times New Roman"/>
          <w:sz w:val="32"/>
          <w:szCs w:val="32"/>
          <w:u w:val="single"/>
        </w:rPr>
        <w:t>5838.57</w:t>
      </w:r>
      <w:r>
        <w:rPr>
          <w:rFonts w:hint="eastAsia"/>
          <w:sz w:val="32"/>
          <w:szCs w:val="32"/>
        </w:rPr>
        <w:t>%。决算数与年初预算数的差异原因：支付退休人员工资。</w:t>
      </w:r>
    </w:p>
    <w:p>
      <w:pPr>
        <w:spacing w:before="100" w:beforeAutospacing="1" w:after="100" w:afterAutospacing="1" w:line="560" w:lineRule="atLeast"/>
        <w:ind w:firstLine="640"/>
        <w:jc w:val="both"/>
      </w:pPr>
      <w:r>
        <w:rPr>
          <w:rFonts w:ascii="Times New Roman" w:hAnsi="Times New Roman" w:cs="Times New Roman"/>
          <w:sz w:val="32"/>
          <w:szCs w:val="32"/>
        </w:rPr>
        <w:t>2</w:t>
      </w:r>
      <w:r>
        <w:rPr>
          <w:rFonts w:hint="eastAsia"/>
          <w:sz w:val="32"/>
          <w:szCs w:val="32"/>
        </w:rPr>
        <w:t>．行政事业单位养老支出（款）事业单位离退休（项）。年初预算</w:t>
      </w:r>
      <w:r>
        <w:rPr>
          <w:rFonts w:ascii="Times New Roman" w:hAnsi="Times New Roman" w:cs="Times New Roman"/>
          <w:sz w:val="32"/>
          <w:szCs w:val="32"/>
          <w:u w:val="single"/>
        </w:rPr>
        <w:t>0</w:t>
      </w:r>
      <w:r>
        <w:rPr>
          <w:rFonts w:hint="eastAsia"/>
          <w:sz w:val="32"/>
          <w:szCs w:val="32"/>
        </w:rPr>
        <w:t>万元，支出决算</w:t>
      </w:r>
      <w:r>
        <w:rPr>
          <w:rFonts w:ascii="Times New Roman" w:hAnsi="Times New Roman" w:cs="Times New Roman"/>
          <w:sz w:val="30"/>
          <w:szCs w:val="30"/>
          <w:u w:val="single"/>
        </w:rPr>
        <w:t>2.16</w:t>
      </w:r>
      <w:r>
        <w:rPr>
          <w:rFonts w:hint="eastAsia"/>
          <w:sz w:val="32"/>
          <w:szCs w:val="32"/>
        </w:rPr>
        <w:t>万元，完成年初预算的</w:t>
      </w:r>
      <w:r>
        <w:rPr>
          <w:rFonts w:ascii="Times New Roman" w:hAnsi="Times New Roman" w:cs="Times New Roman"/>
          <w:sz w:val="32"/>
          <w:szCs w:val="32"/>
          <w:u w:val="single"/>
        </w:rPr>
        <w:t>100</w:t>
      </w:r>
      <w:r>
        <w:rPr>
          <w:rFonts w:hint="eastAsia"/>
          <w:sz w:val="32"/>
          <w:szCs w:val="32"/>
        </w:rPr>
        <w:t>%。决算数与年初预算数的差异原因：支付退休人员取暖费。</w:t>
      </w:r>
    </w:p>
    <w:p>
      <w:pPr>
        <w:spacing w:before="100" w:beforeAutospacing="1" w:after="100" w:afterAutospacing="1" w:line="560" w:lineRule="atLeast"/>
        <w:ind w:firstLine="640"/>
        <w:jc w:val="both"/>
      </w:pPr>
      <w:r>
        <w:rPr>
          <w:rFonts w:ascii="Times New Roman" w:hAnsi="Times New Roman" w:cs="Times New Roman"/>
          <w:sz w:val="32"/>
          <w:szCs w:val="32"/>
        </w:rPr>
        <w:t>3</w:t>
      </w:r>
      <w:r>
        <w:rPr>
          <w:rFonts w:hint="eastAsia"/>
          <w:sz w:val="32"/>
          <w:szCs w:val="32"/>
        </w:rPr>
        <w:t>．行政事业单位养老支出（款）机关事业单位基本养老保险缴费支出（项）。年初预算</w:t>
      </w:r>
      <w:r>
        <w:rPr>
          <w:rFonts w:ascii="Times New Roman" w:hAnsi="Times New Roman" w:cs="Times New Roman"/>
          <w:sz w:val="32"/>
          <w:szCs w:val="32"/>
          <w:u w:val="single"/>
        </w:rPr>
        <w:t>31.68</w:t>
      </w:r>
      <w:r>
        <w:rPr>
          <w:rFonts w:hint="eastAsia"/>
          <w:sz w:val="32"/>
          <w:szCs w:val="32"/>
        </w:rPr>
        <w:t>万元，支出决算</w:t>
      </w:r>
      <w:r>
        <w:rPr>
          <w:rFonts w:ascii="Times New Roman" w:hAnsi="Times New Roman" w:cs="Times New Roman"/>
          <w:sz w:val="30"/>
          <w:szCs w:val="30"/>
          <w:u w:val="single"/>
        </w:rPr>
        <w:t>30.11</w:t>
      </w:r>
      <w:r>
        <w:rPr>
          <w:rFonts w:hint="eastAsia"/>
          <w:sz w:val="32"/>
          <w:szCs w:val="32"/>
        </w:rPr>
        <w:t>万元，完成年初预算的</w:t>
      </w:r>
      <w:r>
        <w:rPr>
          <w:rFonts w:ascii="Times New Roman" w:hAnsi="Times New Roman" w:cs="Times New Roman"/>
          <w:sz w:val="32"/>
          <w:szCs w:val="32"/>
          <w:u w:val="single"/>
        </w:rPr>
        <w:t>95.04</w:t>
      </w:r>
      <w:r>
        <w:rPr>
          <w:rFonts w:hint="eastAsia"/>
          <w:sz w:val="32"/>
          <w:szCs w:val="32"/>
        </w:rPr>
        <w:t>%。决算数与年初预算数的差异原因：支付在职职工养老保险 。</w:t>
      </w:r>
    </w:p>
    <w:p>
      <w:pPr>
        <w:spacing w:before="100" w:beforeAutospacing="1" w:after="100" w:afterAutospacing="1" w:line="560" w:lineRule="atLeast"/>
        <w:ind w:firstLine="640"/>
        <w:jc w:val="both"/>
      </w:pPr>
      <w:r>
        <w:rPr>
          <w:rFonts w:ascii="Times New Roman" w:hAnsi="Times New Roman" w:cs="Times New Roman"/>
          <w:sz w:val="32"/>
          <w:szCs w:val="32"/>
        </w:rPr>
        <w:t>4</w:t>
      </w:r>
      <w:r>
        <w:rPr>
          <w:rFonts w:hint="eastAsia"/>
          <w:sz w:val="32"/>
          <w:szCs w:val="32"/>
        </w:rPr>
        <w:t>．行政事业单位养老支出（款）机关事业单位职业年金缴费支出（项）。年初预算</w:t>
      </w:r>
      <w:r>
        <w:rPr>
          <w:rFonts w:ascii="Times New Roman" w:hAnsi="Times New Roman" w:cs="Times New Roman"/>
          <w:sz w:val="32"/>
          <w:szCs w:val="32"/>
          <w:u w:val="single"/>
        </w:rPr>
        <w:t>0</w:t>
      </w:r>
      <w:r>
        <w:rPr>
          <w:rFonts w:hint="eastAsia"/>
          <w:sz w:val="32"/>
          <w:szCs w:val="32"/>
        </w:rPr>
        <w:t>万元，支出决算</w:t>
      </w:r>
      <w:r>
        <w:rPr>
          <w:rFonts w:ascii="Times New Roman" w:hAnsi="Times New Roman" w:cs="Times New Roman"/>
          <w:sz w:val="30"/>
          <w:szCs w:val="30"/>
          <w:u w:val="single"/>
        </w:rPr>
        <w:t>18.51</w:t>
      </w:r>
      <w:r>
        <w:rPr>
          <w:rFonts w:hint="eastAsia"/>
          <w:sz w:val="32"/>
          <w:szCs w:val="32"/>
        </w:rPr>
        <w:t>万元，完成年初预算的</w:t>
      </w:r>
      <w:r>
        <w:rPr>
          <w:rFonts w:ascii="Times New Roman" w:hAnsi="Times New Roman" w:cs="Times New Roman"/>
          <w:sz w:val="32"/>
          <w:szCs w:val="32"/>
          <w:u w:val="single"/>
        </w:rPr>
        <w:t>100</w:t>
      </w:r>
      <w:r>
        <w:rPr>
          <w:rFonts w:hint="eastAsia"/>
          <w:sz w:val="32"/>
          <w:szCs w:val="32"/>
        </w:rPr>
        <w:t>%。决算数与年初预算数的差异原因：支付在职职工职业年金。</w:t>
      </w:r>
    </w:p>
    <w:p>
      <w:pPr>
        <w:spacing w:before="100" w:beforeAutospacing="1" w:after="100" w:afterAutospacing="1" w:line="560" w:lineRule="atLeast"/>
        <w:ind w:firstLine="640"/>
        <w:jc w:val="both"/>
      </w:pPr>
      <w:r>
        <w:rPr>
          <w:rFonts w:ascii="Times New Roman" w:hAnsi="Times New Roman" w:cs="Times New Roman"/>
          <w:sz w:val="32"/>
          <w:szCs w:val="32"/>
        </w:rPr>
        <w:t xml:space="preserve"> 5</w:t>
      </w:r>
      <w:r>
        <w:rPr>
          <w:rFonts w:hint="eastAsia"/>
          <w:sz w:val="32"/>
          <w:szCs w:val="32"/>
        </w:rPr>
        <w:t>．行政事业单位养老支出（款）  对机关事业单位职业年金的补助（项）。年初预算</w:t>
      </w:r>
      <w:r>
        <w:rPr>
          <w:rFonts w:ascii="Times New Roman" w:hAnsi="Times New Roman" w:cs="Times New Roman"/>
          <w:sz w:val="32"/>
          <w:szCs w:val="32"/>
          <w:u w:val="single"/>
        </w:rPr>
        <w:t>0</w:t>
      </w:r>
      <w:r>
        <w:rPr>
          <w:rFonts w:hint="eastAsia"/>
          <w:sz w:val="32"/>
          <w:szCs w:val="32"/>
        </w:rPr>
        <w:t>万元，支出决算</w:t>
      </w:r>
      <w:r>
        <w:rPr>
          <w:rFonts w:ascii="Times New Roman" w:hAnsi="Times New Roman" w:cs="Times New Roman"/>
          <w:sz w:val="30"/>
          <w:szCs w:val="30"/>
          <w:u w:val="single"/>
        </w:rPr>
        <w:t>2.83</w:t>
      </w:r>
      <w:r>
        <w:rPr>
          <w:rFonts w:hint="eastAsia"/>
          <w:sz w:val="32"/>
          <w:szCs w:val="32"/>
        </w:rPr>
        <w:t>万元，完成年初预算的</w:t>
      </w:r>
      <w:r>
        <w:rPr>
          <w:rFonts w:ascii="Times New Roman" w:hAnsi="Times New Roman" w:cs="Times New Roman"/>
          <w:sz w:val="32"/>
          <w:szCs w:val="32"/>
          <w:u w:val="single"/>
        </w:rPr>
        <w:t>100</w:t>
      </w:r>
      <w:r>
        <w:rPr>
          <w:rFonts w:hint="eastAsia"/>
          <w:sz w:val="32"/>
          <w:szCs w:val="32"/>
        </w:rPr>
        <w:t>%。决算数与年初预算数的差异原因：支付在职职工职业年金。</w:t>
      </w:r>
    </w:p>
    <w:p>
      <w:pPr>
        <w:spacing w:before="100" w:beforeAutospacing="1" w:after="100" w:afterAutospacing="1" w:line="560" w:lineRule="atLeast"/>
        <w:ind w:firstLine="643"/>
        <w:jc w:val="both"/>
      </w:pPr>
      <w:r>
        <w:rPr>
          <w:rFonts w:hint="eastAsia" w:ascii="楷体" w:hAnsi="楷体" w:eastAsia="楷体"/>
          <w:b/>
          <w:bCs/>
          <w:sz w:val="32"/>
          <w:szCs w:val="32"/>
        </w:rPr>
        <w:t>（三）卫生健康支出（类）</w:t>
      </w:r>
    </w:p>
    <w:p>
      <w:pPr>
        <w:spacing w:before="100" w:beforeAutospacing="1" w:after="100" w:afterAutospacing="1" w:line="560" w:lineRule="atLeast"/>
        <w:ind w:firstLine="640"/>
        <w:jc w:val="both"/>
      </w:pPr>
      <w:r>
        <w:rPr>
          <w:rFonts w:hint="eastAsia"/>
          <w:sz w:val="32"/>
          <w:szCs w:val="32"/>
        </w:rPr>
        <w:t>卫生健康支出类决算数为</w:t>
      </w:r>
      <w:r>
        <w:rPr>
          <w:rFonts w:ascii="Times New Roman" w:hAnsi="Times New Roman" w:cs="Times New Roman"/>
          <w:sz w:val="32"/>
          <w:szCs w:val="32"/>
          <w:u w:val="single"/>
        </w:rPr>
        <w:t>16.77</w:t>
      </w:r>
      <w:r>
        <w:rPr>
          <w:rFonts w:hint="eastAsia"/>
          <w:sz w:val="32"/>
          <w:szCs w:val="32"/>
        </w:rPr>
        <w:t>万元，与年初预算相比减少</w:t>
      </w:r>
      <w:r>
        <w:rPr>
          <w:rFonts w:ascii="Times New Roman" w:hAnsi="Times New Roman" w:cs="Times New Roman"/>
          <w:sz w:val="32"/>
          <w:szCs w:val="32"/>
          <w:u w:val="single"/>
        </w:rPr>
        <w:t>0.13</w:t>
      </w:r>
      <w:r>
        <w:rPr>
          <w:rFonts w:hint="eastAsia"/>
          <w:sz w:val="32"/>
          <w:szCs w:val="32"/>
        </w:rPr>
        <w:t>万元。其中：</w:t>
      </w:r>
    </w:p>
    <w:p>
      <w:pPr>
        <w:spacing w:before="100" w:beforeAutospacing="1" w:after="100" w:afterAutospacing="1" w:line="560" w:lineRule="atLeast"/>
        <w:ind w:firstLine="640"/>
        <w:jc w:val="both"/>
      </w:pPr>
      <w:r>
        <w:rPr>
          <w:rFonts w:ascii="Times New Roman" w:hAnsi="Times New Roman" w:cs="Times New Roman"/>
          <w:sz w:val="32"/>
          <w:szCs w:val="32"/>
        </w:rPr>
        <w:t>1</w:t>
      </w:r>
      <w:r>
        <w:rPr>
          <w:rFonts w:hint="eastAsia"/>
          <w:sz w:val="32"/>
          <w:szCs w:val="32"/>
        </w:rPr>
        <w:t>．行政事业单位医疗（款）行政单位医疗（项）。年初预算</w:t>
      </w:r>
      <w:r>
        <w:rPr>
          <w:rFonts w:ascii="Times New Roman" w:hAnsi="Times New Roman" w:cs="Times New Roman"/>
          <w:sz w:val="32"/>
          <w:szCs w:val="32"/>
          <w:u w:val="single"/>
        </w:rPr>
        <w:t>16.9</w:t>
      </w:r>
      <w:r>
        <w:rPr>
          <w:rFonts w:hint="eastAsia"/>
          <w:sz w:val="32"/>
          <w:szCs w:val="32"/>
        </w:rPr>
        <w:t>万元，支出决算</w:t>
      </w:r>
      <w:r>
        <w:rPr>
          <w:rFonts w:ascii="Times New Roman" w:hAnsi="Times New Roman" w:cs="Times New Roman"/>
          <w:sz w:val="30"/>
          <w:szCs w:val="30"/>
          <w:u w:val="single"/>
        </w:rPr>
        <w:t>16.77</w:t>
      </w:r>
      <w:r>
        <w:rPr>
          <w:rFonts w:hint="eastAsia"/>
          <w:sz w:val="32"/>
          <w:szCs w:val="32"/>
        </w:rPr>
        <w:t>万元，完成年初预算的</w:t>
      </w:r>
      <w:r>
        <w:rPr>
          <w:rFonts w:ascii="Times New Roman" w:hAnsi="Times New Roman" w:cs="Times New Roman"/>
          <w:sz w:val="32"/>
          <w:szCs w:val="32"/>
          <w:u w:val="single"/>
        </w:rPr>
        <w:t xml:space="preserve">99.23 </w:t>
      </w:r>
      <w:r>
        <w:rPr>
          <w:rFonts w:hint="eastAsia"/>
          <w:sz w:val="32"/>
          <w:szCs w:val="32"/>
        </w:rPr>
        <w:t>%。决算数与年初预算数的差异原因：支付在职职工医疗保险。</w:t>
      </w:r>
    </w:p>
    <w:p>
      <w:pPr>
        <w:spacing w:before="100" w:beforeAutospacing="1" w:after="100" w:afterAutospacing="1" w:line="560" w:lineRule="atLeast"/>
        <w:ind w:firstLine="643"/>
        <w:jc w:val="both"/>
      </w:pPr>
      <w:r>
        <w:rPr>
          <w:rFonts w:hint="eastAsia" w:ascii="楷体" w:hAnsi="楷体" w:eastAsia="楷体"/>
          <w:b/>
          <w:bCs/>
          <w:sz w:val="32"/>
          <w:szCs w:val="32"/>
        </w:rPr>
        <w:t>（四）住房保障支出（类）</w:t>
      </w:r>
    </w:p>
    <w:p>
      <w:pPr>
        <w:spacing w:before="100" w:beforeAutospacing="1" w:after="100" w:afterAutospacing="1" w:line="560" w:lineRule="atLeast"/>
        <w:ind w:firstLine="640"/>
        <w:jc w:val="both"/>
      </w:pPr>
      <w:r>
        <w:rPr>
          <w:rFonts w:hint="eastAsia"/>
          <w:sz w:val="32"/>
          <w:szCs w:val="32"/>
        </w:rPr>
        <w:t>住房保障支出类决算数为</w:t>
      </w:r>
      <w:r>
        <w:rPr>
          <w:rFonts w:ascii="Times New Roman" w:hAnsi="Times New Roman" w:cs="Times New Roman"/>
          <w:sz w:val="32"/>
          <w:szCs w:val="32"/>
          <w:u w:val="single"/>
        </w:rPr>
        <w:t>24.19</w:t>
      </w:r>
      <w:r>
        <w:rPr>
          <w:rFonts w:hint="eastAsia"/>
          <w:sz w:val="32"/>
          <w:szCs w:val="32"/>
        </w:rPr>
        <w:t>万元，与年初预算相比增加</w:t>
      </w:r>
      <w:r>
        <w:rPr>
          <w:rFonts w:ascii="Times New Roman" w:hAnsi="Times New Roman" w:cs="Times New Roman"/>
          <w:sz w:val="32"/>
          <w:szCs w:val="32"/>
          <w:u w:val="single"/>
        </w:rPr>
        <w:t>0.43</w:t>
      </w:r>
      <w:r>
        <w:rPr>
          <w:rFonts w:hint="eastAsia"/>
          <w:sz w:val="32"/>
          <w:szCs w:val="32"/>
        </w:rPr>
        <w:t>万元。其中：</w:t>
      </w:r>
    </w:p>
    <w:p>
      <w:pPr>
        <w:numPr>
          <w:ilvl w:val="0"/>
          <w:numId w:val="3"/>
        </w:numPr>
        <w:spacing w:before="100" w:beforeAutospacing="1" w:after="100" w:afterAutospacing="1" w:line="560" w:lineRule="atLeast"/>
        <w:ind w:firstLine="640"/>
        <w:jc w:val="both"/>
        <w:rPr>
          <w:sz w:val="32"/>
          <w:szCs w:val="32"/>
        </w:rPr>
      </w:pPr>
      <w:r>
        <w:rPr>
          <w:rFonts w:hint="eastAsia"/>
          <w:sz w:val="32"/>
          <w:szCs w:val="32"/>
        </w:rPr>
        <w:t>住房改革支出（款）住房公积金（项）。年初预算</w:t>
      </w:r>
      <w:r>
        <w:rPr>
          <w:rFonts w:ascii="Times New Roman" w:hAnsi="Times New Roman" w:cs="Times New Roman"/>
          <w:sz w:val="32"/>
          <w:szCs w:val="32"/>
          <w:u w:val="single"/>
        </w:rPr>
        <w:t xml:space="preserve"> 23.76</w:t>
      </w:r>
      <w:r>
        <w:rPr>
          <w:rFonts w:hint="eastAsia"/>
          <w:sz w:val="32"/>
          <w:szCs w:val="32"/>
        </w:rPr>
        <w:t>万元，支出决算</w:t>
      </w:r>
      <w:r>
        <w:rPr>
          <w:rFonts w:ascii="Times New Roman" w:hAnsi="Times New Roman" w:cs="Times New Roman"/>
          <w:sz w:val="30"/>
          <w:szCs w:val="30"/>
          <w:u w:val="single"/>
        </w:rPr>
        <w:t>24.19</w:t>
      </w:r>
      <w:r>
        <w:rPr>
          <w:rFonts w:hint="eastAsia"/>
          <w:sz w:val="32"/>
          <w:szCs w:val="32"/>
        </w:rPr>
        <w:t>万元，完成年初预算的</w:t>
      </w:r>
      <w:r>
        <w:rPr>
          <w:rFonts w:ascii="Times New Roman" w:hAnsi="Times New Roman" w:cs="Times New Roman"/>
          <w:sz w:val="32"/>
          <w:szCs w:val="32"/>
          <w:u w:val="single"/>
        </w:rPr>
        <w:t>101.81</w:t>
      </w:r>
      <w:r>
        <w:rPr>
          <w:rFonts w:hint="eastAsia"/>
          <w:sz w:val="32"/>
          <w:szCs w:val="32"/>
        </w:rPr>
        <w:t>%。决算数与年初预算数的差异原因：支付在职职工住房公积金。</w:t>
      </w:r>
    </w:p>
    <w:p>
      <w:pPr>
        <w:spacing w:before="100" w:beforeAutospacing="1" w:after="100" w:afterAutospacing="1" w:line="560" w:lineRule="atLeast"/>
        <w:ind w:firstLine="643"/>
        <w:jc w:val="both"/>
        <w:rPr>
          <w:rFonts w:ascii="楷体" w:hAnsi="楷体" w:eastAsia="楷体"/>
          <w:b/>
          <w:bCs/>
          <w:sz w:val="32"/>
          <w:szCs w:val="32"/>
        </w:rPr>
      </w:pPr>
      <w:r>
        <w:rPr>
          <w:rFonts w:hint="eastAsia" w:ascii="楷体" w:hAnsi="楷体" w:eastAsia="楷体"/>
          <w:b/>
          <w:bCs/>
          <w:sz w:val="32"/>
          <w:szCs w:val="32"/>
        </w:rPr>
        <w:t>（五）农林水支出（类）</w:t>
      </w:r>
    </w:p>
    <w:p>
      <w:pPr>
        <w:spacing w:before="100" w:beforeAutospacing="1" w:after="100" w:afterAutospacing="1" w:line="560" w:lineRule="atLeast"/>
        <w:ind w:firstLine="640"/>
        <w:jc w:val="both"/>
        <w:rPr>
          <w:sz w:val="32"/>
          <w:szCs w:val="32"/>
        </w:rPr>
      </w:pPr>
      <w:r>
        <w:rPr>
          <w:rFonts w:hint="eastAsia"/>
          <w:sz w:val="32"/>
          <w:szCs w:val="32"/>
        </w:rPr>
        <w:t>1.水利（款）其他水利支出（项）。年初预算0万元，支出决算493.6万元，完成年初预算的100%。决算数与年初预算数的差异原因：追加预算资金。</w:t>
      </w:r>
    </w:p>
    <w:p>
      <w:pPr>
        <w:spacing w:before="100" w:beforeAutospacing="1" w:after="100" w:afterAutospacing="1" w:line="560" w:lineRule="atLeast"/>
        <w:ind w:firstLine="643"/>
        <w:jc w:val="both"/>
        <w:rPr>
          <w:rFonts w:ascii="楷体" w:hAnsi="楷体" w:eastAsia="楷体"/>
          <w:b/>
          <w:bCs/>
          <w:sz w:val="32"/>
          <w:szCs w:val="32"/>
        </w:rPr>
      </w:pPr>
      <w:r>
        <w:rPr>
          <w:rFonts w:hint="eastAsia" w:ascii="楷体" w:hAnsi="楷体" w:eastAsia="楷体"/>
          <w:b/>
          <w:bCs/>
          <w:sz w:val="32"/>
          <w:szCs w:val="32"/>
        </w:rPr>
        <w:t>（六）资源勘探工业信息等支出（类）</w:t>
      </w:r>
    </w:p>
    <w:p>
      <w:pPr>
        <w:spacing w:before="100" w:beforeAutospacing="1" w:after="100" w:afterAutospacing="1" w:line="560" w:lineRule="atLeast"/>
        <w:ind w:firstLine="640"/>
        <w:jc w:val="both"/>
        <w:rPr>
          <w:sz w:val="32"/>
          <w:szCs w:val="32"/>
        </w:rPr>
      </w:pPr>
      <w:r>
        <w:rPr>
          <w:rFonts w:hint="eastAsia"/>
          <w:sz w:val="32"/>
          <w:szCs w:val="32"/>
        </w:rPr>
        <w:t>1.</w:t>
      </w:r>
      <w:r>
        <w:rPr>
          <w:rFonts w:hint="eastAsia"/>
        </w:rPr>
        <w:t xml:space="preserve"> </w:t>
      </w:r>
      <w:r>
        <w:rPr>
          <w:rFonts w:hint="eastAsia"/>
          <w:sz w:val="32"/>
          <w:szCs w:val="32"/>
        </w:rPr>
        <w:t>国有资产监管（款）行政运行（项）。年初预算0万元，支出决算338.23万元，完成年初预算的100%。决算数与年初预算数的差异原因：追加预算资金。</w:t>
      </w:r>
    </w:p>
    <w:p>
      <w:pPr>
        <w:spacing w:before="100" w:beforeAutospacing="1" w:after="100" w:afterAutospacing="1" w:line="560" w:lineRule="atLeast"/>
        <w:ind w:firstLine="640"/>
        <w:jc w:val="both"/>
        <w:rPr>
          <w:sz w:val="32"/>
          <w:szCs w:val="32"/>
        </w:rPr>
      </w:pPr>
      <w:r>
        <w:rPr>
          <w:rFonts w:hint="eastAsia"/>
        </w:rPr>
        <w:t>2</w:t>
      </w:r>
      <w:r>
        <w:rPr>
          <w:rFonts w:hint="eastAsia"/>
          <w:sz w:val="32"/>
          <w:szCs w:val="32"/>
        </w:rPr>
        <w:t>.</w:t>
      </w:r>
      <w:r>
        <w:rPr>
          <w:rFonts w:hint="eastAsia"/>
        </w:rPr>
        <w:t xml:space="preserve"> </w:t>
      </w:r>
      <w:r>
        <w:rPr>
          <w:rFonts w:hint="eastAsia"/>
          <w:sz w:val="32"/>
          <w:szCs w:val="32"/>
        </w:rPr>
        <w:t>国有资产监管（款）一般行政管理事务(项）。年初预算10万元，支出决算103万元，完成年初预算的100%。决算数与年初预算数的差异原因：无差异。</w:t>
      </w:r>
    </w:p>
    <w:p>
      <w:pPr>
        <w:spacing w:before="100" w:beforeAutospacing="1" w:after="100" w:afterAutospacing="1" w:line="560" w:lineRule="atLeast"/>
        <w:ind w:firstLine="640"/>
        <w:jc w:val="both"/>
        <w:rPr>
          <w:sz w:val="32"/>
          <w:szCs w:val="32"/>
        </w:rPr>
      </w:pPr>
      <w:r>
        <w:rPr>
          <w:rFonts w:hint="eastAsia"/>
          <w:sz w:val="32"/>
          <w:szCs w:val="32"/>
        </w:rPr>
        <w:t>3.</w:t>
      </w:r>
      <w:r>
        <w:rPr>
          <w:rFonts w:hint="eastAsia"/>
        </w:rPr>
        <w:t xml:space="preserve"> </w:t>
      </w:r>
      <w:r>
        <w:rPr>
          <w:rFonts w:hint="eastAsia"/>
          <w:sz w:val="32"/>
          <w:szCs w:val="32"/>
        </w:rPr>
        <w:t>国有资产监管（款）其他国有资产监管支出（项）。年初预算0万元，支出决算19.39万元，完成年初预算的100%。决算数与年初预算数的差异原因：追加预算资金。</w:t>
      </w:r>
    </w:p>
    <w:p>
      <w:pPr>
        <w:spacing w:before="100" w:beforeAutospacing="1" w:after="100" w:afterAutospacing="1" w:line="560" w:lineRule="atLeast"/>
        <w:ind w:firstLine="640"/>
        <w:jc w:val="both"/>
        <w:rPr>
          <w:sz w:val="32"/>
          <w:szCs w:val="32"/>
        </w:rPr>
      </w:pPr>
      <w:r>
        <w:rPr>
          <w:rFonts w:hint="eastAsia" w:ascii="楷体" w:hAnsi="楷体" w:eastAsia="楷体"/>
          <w:b/>
          <w:bCs/>
          <w:sz w:val="32"/>
          <w:szCs w:val="32"/>
        </w:rPr>
        <w:t>（七）其他支出（类）</w:t>
      </w:r>
    </w:p>
    <w:p>
      <w:pPr>
        <w:spacing w:before="100" w:beforeAutospacing="1" w:after="100" w:afterAutospacing="1" w:line="560" w:lineRule="atLeast"/>
        <w:ind w:firstLine="640"/>
        <w:jc w:val="both"/>
        <w:rPr>
          <w:sz w:val="32"/>
          <w:szCs w:val="32"/>
        </w:rPr>
      </w:pPr>
      <w:r>
        <w:rPr>
          <w:rFonts w:hint="eastAsia"/>
          <w:sz w:val="32"/>
          <w:szCs w:val="32"/>
        </w:rPr>
        <w:t>1.其他支出（款）其他支出（项）。年初预算0万元，支出决算39.2万元，完成年初预算的100%。决算数与年初预算数的差异原因：追加预算资金。</w:t>
      </w:r>
    </w:p>
    <w:p>
      <w:pPr>
        <w:spacing w:before="100" w:beforeAutospacing="1" w:after="100" w:afterAutospacing="1" w:line="560" w:lineRule="atLeast"/>
        <w:ind w:firstLine="640"/>
        <w:jc w:val="both"/>
      </w:pPr>
      <w:r>
        <w:rPr>
          <w:rFonts w:hint="eastAsia"/>
          <w:sz w:val="32"/>
          <w:szCs w:val="32"/>
        </w:rPr>
        <w:t>包头市国资国企改革发展促进中心单位2022年度一般公共预算财政拨款支出决算</w:t>
      </w:r>
      <w:r>
        <w:rPr>
          <w:rFonts w:ascii="Times New Roman" w:hAnsi="Times New Roman" w:cs="Times New Roman"/>
          <w:sz w:val="32"/>
          <w:szCs w:val="32"/>
        </w:rPr>
        <w:t>254.88</w:t>
      </w:r>
      <w:r>
        <w:rPr>
          <w:rFonts w:hint="eastAsia"/>
          <w:sz w:val="32"/>
          <w:szCs w:val="32"/>
        </w:rPr>
        <w:t>万元。与年初预算</w:t>
      </w:r>
      <w:r>
        <w:rPr>
          <w:rFonts w:ascii="Times New Roman" w:hAnsi="Times New Roman" w:cs="Times New Roman"/>
          <w:sz w:val="32"/>
          <w:szCs w:val="32"/>
        </w:rPr>
        <w:t>137.04</w:t>
      </w:r>
      <w:r>
        <w:rPr>
          <w:rFonts w:hint="eastAsia"/>
          <w:sz w:val="32"/>
          <w:szCs w:val="32"/>
        </w:rPr>
        <w:t>万元相比，完成年初预算的</w:t>
      </w:r>
      <w:r>
        <w:rPr>
          <w:rFonts w:ascii="Times New Roman" w:hAnsi="Times New Roman" w:cs="Times New Roman"/>
          <w:sz w:val="32"/>
          <w:szCs w:val="32"/>
        </w:rPr>
        <w:t>185.99</w:t>
      </w:r>
      <w:r>
        <w:rPr>
          <w:rFonts w:hint="eastAsia"/>
          <w:sz w:val="32"/>
          <w:szCs w:val="32"/>
        </w:rPr>
        <w:t>%。其中：</w:t>
      </w:r>
    </w:p>
    <w:p>
      <w:pPr>
        <w:spacing w:before="100" w:beforeAutospacing="1" w:after="100" w:afterAutospacing="1" w:line="560" w:lineRule="atLeast"/>
        <w:ind w:firstLine="643"/>
        <w:jc w:val="both"/>
      </w:pPr>
      <w:r>
        <w:rPr>
          <w:rFonts w:hint="eastAsia" w:ascii="楷体" w:hAnsi="楷体" w:eastAsia="楷体" w:cs="楷体"/>
          <w:b/>
          <w:bCs/>
          <w:sz w:val="32"/>
          <w:szCs w:val="32"/>
        </w:rPr>
        <w:t>（一）社会保障和就业支出（类）</w:t>
      </w:r>
    </w:p>
    <w:p>
      <w:pPr>
        <w:spacing w:before="100" w:beforeAutospacing="1" w:after="100" w:afterAutospacing="1" w:line="560" w:lineRule="atLeast"/>
        <w:ind w:firstLine="640"/>
        <w:jc w:val="both"/>
      </w:pPr>
      <w:r>
        <w:rPr>
          <w:rFonts w:hint="eastAsia"/>
          <w:sz w:val="32"/>
          <w:szCs w:val="32"/>
        </w:rPr>
        <w:t>社会保障和就业支出类决算数为</w:t>
      </w:r>
      <w:r>
        <w:rPr>
          <w:rFonts w:ascii="Times New Roman" w:hAnsi="Times New Roman" w:cs="Times New Roman"/>
          <w:sz w:val="32"/>
          <w:szCs w:val="32"/>
        </w:rPr>
        <w:t>78.09</w:t>
      </w:r>
      <w:r>
        <w:rPr>
          <w:rFonts w:hint="eastAsia"/>
          <w:sz w:val="32"/>
          <w:szCs w:val="32"/>
        </w:rPr>
        <w:t>万元，与年初预算相比增加</w:t>
      </w:r>
      <w:r>
        <w:rPr>
          <w:rFonts w:ascii="Times New Roman" w:hAnsi="Times New Roman" w:cs="Times New Roman"/>
          <w:sz w:val="32"/>
          <w:szCs w:val="32"/>
        </w:rPr>
        <w:t>70.18</w:t>
      </w:r>
      <w:r>
        <w:rPr>
          <w:rFonts w:hint="eastAsia"/>
          <w:sz w:val="32"/>
          <w:szCs w:val="32"/>
        </w:rPr>
        <w:t>万元。其中：</w:t>
      </w:r>
    </w:p>
    <w:p>
      <w:pPr>
        <w:spacing w:before="100" w:beforeAutospacing="1" w:after="100" w:afterAutospacing="1" w:line="560" w:lineRule="atLeast"/>
        <w:ind w:firstLine="640"/>
        <w:jc w:val="both"/>
      </w:pPr>
      <w:r>
        <w:rPr>
          <w:rFonts w:ascii="Times New Roman" w:hAnsi="Times New Roman" w:cs="Times New Roman"/>
          <w:sz w:val="32"/>
          <w:szCs w:val="32"/>
        </w:rPr>
        <w:t>1</w:t>
      </w:r>
      <w:r>
        <w:rPr>
          <w:rFonts w:hint="eastAsia"/>
          <w:sz w:val="32"/>
          <w:szCs w:val="32"/>
        </w:rPr>
        <w:t>．行政事业单位养老支出（款）事业单位离退休（项）。年初预算0万元，支出决算71.85万元，完成年初预算的100 %。决算数与年初预算数的差异原因：年初预算支出功能分类科目填写错误，故本项目年初无预算数，调剂后决算产生数据。</w:t>
      </w:r>
    </w:p>
    <w:p>
      <w:pPr>
        <w:spacing w:before="100" w:beforeAutospacing="1" w:after="100" w:afterAutospacing="1" w:line="560" w:lineRule="atLeast"/>
        <w:ind w:firstLine="640"/>
        <w:jc w:val="both"/>
      </w:pPr>
      <w:r>
        <w:rPr>
          <w:rFonts w:ascii="Times New Roman" w:hAnsi="Times New Roman" w:cs="Times New Roman"/>
          <w:sz w:val="32"/>
          <w:szCs w:val="32"/>
        </w:rPr>
        <w:t>2</w:t>
      </w:r>
      <w:r>
        <w:rPr>
          <w:rFonts w:hint="eastAsia"/>
          <w:sz w:val="32"/>
          <w:szCs w:val="32"/>
        </w:rPr>
        <w:t>．行政事业单位养老支出（款）机关事业单位基本养老保险缴费支出（项）。年初预算0万元，支出决算</w:t>
      </w:r>
      <w:r>
        <w:rPr>
          <w:sz w:val="32"/>
          <w:szCs w:val="32"/>
        </w:rPr>
        <w:t>4.11</w:t>
      </w:r>
      <w:r>
        <w:rPr>
          <w:rFonts w:hint="eastAsia"/>
          <w:sz w:val="32"/>
          <w:szCs w:val="32"/>
        </w:rPr>
        <w:t>万元，完成年初预算的</w:t>
      </w:r>
      <w:r>
        <w:rPr>
          <w:rFonts w:hint="eastAsia" w:ascii="Times New Roman" w:hAnsi="Times New Roman" w:cs="Times New Roman"/>
          <w:sz w:val="32"/>
          <w:szCs w:val="32"/>
        </w:rPr>
        <w:t>100</w:t>
      </w:r>
      <w:r>
        <w:rPr>
          <w:rFonts w:ascii="Times New Roman" w:hAnsi="Times New Roman" w:cs="Times New Roman"/>
          <w:sz w:val="32"/>
          <w:szCs w:val="32"/>
        </w:rPr>
        <w:t xml:space="preserve"> </w:t>
      </w:r>
      <w:r>
        <w:rPr>
          <w:rFonts w:hint="eastAsia"/>
          <w:sz w:val="32"/>
          <w:szCs w:val="32"/>
        </w:rPr>
        <w:t>%。决算数与年初预算数的差异原因：年初预算支出功能分类科目填写错误，故本项目年初无预算数，调剂后决算产生数据。</w:t>
      </w:r>
    </w:p>
    <w:p>
      <w:pPr>
        <w:spacing w:before="100" w:beforeAutospacing="1" w:after="100" w:afterAutospacing="1" w:line="560" w:lineRule="atLeast"/>
        <w:ind w:firstLine="640"/>
        <w:jc w:val="both"/>
        <w:rPr>
          <w:sz w:val="32"/>
          <w:szCs w:val="32"/>
        </w:rPr>
      </w:pPr>
      <w:r>
        <w:rPr>
          <w:rFonts w:ascii="Times New Roman" w:hAnsi="Times New Roman" w:cs="Times New Roman"/>
          <w:sz w:val="32"/>
          <w:szCs w:val="32"/>
        </w:rPr>
        <w:t>3</w:t>
      </w:r>
      <w:r>
        <w:rPr>
          <w:rFonts w:hint="eastAsia"/>
          <w:sz w:val="32"/>
          <w:szCs w:val="32"/>
        </w:rPr>
        <w:t>．行政事业单位养老支出（款）行政运行（项）。年初预算0万元，支出决算</w:t>
      </w:r>
      <w:r>
        <w:rPr>
          <w:rFonts w:hint="eastAsia" w:ascii="Times New Roman" w:hAnsi="Times New Roman" w:cs="Times New Roman"/>
          <w:sz w:val="32"/>
          <w:szCs w:val="32"/>
        </w:rPr>
        <w:t>2.13</w:t>
      </w:r>
      <w:r>
        <w:rPr>
          <w:rFonts w:hint="eastAsia"/>
          <w:sz w:val="32"/>
          <w:szCs w:val="32"/>
        </w:rPr>
        <w:t>万元，完成年初预算的</w:t>
      </w:r>
      <w:r>
        <w:rPr>
          <w:rFonts w:hint="eastAsia" w:ascii="Times New Roman" w:hAnsi="Times New Roman" w:cs="Times New Roman"/>
          <w:sz w:val="32"/>
          <w:szCs w:val="32"/>
        </w:rPr>
        <w:t>100</w:t>
      </w:r>
      <w:r>
        <w:rPr>
          <w:rFonts w:hint="eastAsia"/>
          <w:sz w:val="32"/>
          <w:szCs w:val="32"/>
        </w:rPr>
        <w:t>%。决算数与年初预算数的差异原因：年初预算支出功能分类科目填写错误，故本项目年初无预算数，调剂后决算产生数据。</w:t>
      </w:r>
    </w:p>
    <w:p>
      <w:pPr>
        <w:spacing w:before="100" w:beforeAutospacing="1" w:after="100" w:afterAutospacing="1" w:line="560" w:lineRule="atLeast"/>
        <w:ind w:firstLine="643"/>
        <w:jc w:val="both"/>
      </w:pPr>
      <w:r>
        <w:rPr>
          <w:rFonts w:hint="eastAsia" w:ascii="楷体" w:hAnsi="楷体" w:eastAsia="楷体" w:cs="楷体"/>
          <w:b/>
          <w:bCs/>
          <w:sz w:val="32"/>
          <w:szCs w:val="32"/>
        </w:rPr>
        <w:t>（二）卫生健康支出（类）</w:t>
      </w:r>
    </w:p>
    <w:p>
      <w:pPr>
        <w:spacing w:before="100" w:beforeAutospacing="1" w:after="100" w:afterAutospacing="1" w:line="560" w:lineRule="atLeast"/>
        <w:ind w:firstLine="640"/>
        <w:jc w:val="both"/>
      </w:pPr>
      <w:r>
        <w:rPr>
          <w:rFonts w:hint="eastAsia"/>
          <w:sz w:val="32"/>
          <w:szCs w:val="32"/>
        </w:rPr>
        <w:t>卫生健康支出类决算数为</w:t>
      </w:r>
      <w:r>
        <w:rPr>
          <w:rFonts w:ascii="Times New Roman" w:hAnsi="Times New Roman" w:cs="Times New Roman"/>
          <w:sz w:val="32"/>
          <w:szCs w:val="32"/>
        </w:rPr>
        <w:t>2.01</w:t>
      </w:r>
      <w:r>
        <w:rPr>
          <w:rFonts w:hint="eastAsia"/>
          <w:sz w:val="32"/>
          <w:szCs w:val="32"/>
        </w:rPr>
        <w:t>万元，与年初预算相比增加</w:t>
      </w:r>
      <w:r>
        <w:rPr>
          <w:rFonts w:ascii="Times New Roman" w:hAnsi="Times New Roman" w:cs="Times New Roman"/>
          <w:sz w:val="32"/>
          <w:szCs w:val="32"/>
        </w:rPr>
        <w:t>2.01</w:t>
      </w:r>
      <w:r>
        <w:rPr>
          <w:rFonts w:hint="eastAsia"/>
          <w:sz w:val="32"/>
          <w:szCs w:val="32"/>
        </w:rPr>
        <w:t>万元。其中：</w:t>
      </w:r>
    </w:p>
    <w:p>
      <w:pPr>
        <w:spacing w:before="100" w:beforeAutospacing="1" w:after="100" w:afterAutospacing="1" w:line="560" w:lineRule="atLeast"/>
        <w:ind w:firstLine="640" w:firstLineChars="200"/>
        <w:jc w:val="both"/>
        <w:rPr>
          <w:sz w:val="32"/>
          <w:szCs w:val="32"/>
        </w:rPr>
      </w:pPr>
      <w:r>
        <w:rPr>
          <w:rFonts w:hint="eastAsia" w:ascii="Times New Roman" w:hAnsi="Times New Roman" w:cs="Times New Roman"/>
          <w:sz w:val="32"/>
          <w:szCs w:val="32"/>
        </w:rPr>
        <w:t>1.</w:t>
      </w:r>
      <w:r>
        <w:rPr>
          <w:rFonts w:hint="eastAsia"/>
          <w:sz w:val="32"/>
          <w:szCs w:val="32"/>
        </w:rPr>
        <w:t>行政事业单位医疗（款）事业单位医疗（项）。年初预算</w:t>
      </w:r>
      <w:r>
        <w:rPr>
          <w:rFonts w:hint="eastAsia" w:ascii="Times New Roman" w:hAnsi="Times New Roman" w:cs="Times New Roman"/>
          <w:sz w:val="32"/>
          <w:szCs w:val="32"/>
        </w:rPr>
        <w:t>0.00</w:t>
      </w:r>
      <w:r>
        <w:rPr>
          <w:rFonts w:hint="eastAsia"/>
          <w:sz w:val="32"/>
          <w:szCs w:val="32"/>
        </w:rPr>
        <w:t>万元，支出决算</w:t>
      </w:r>
      <w:r>
        <w:rPr>
          <w:rFonts w:hint="eastAsia" w:ascii="Times New Roman" w:hAnsi="Times New Roman" w:cs="Times New Roman"/>
          <w:sz w:val="32"/>
          <w:szCs w:val="32"/>
        </w:rPr>
        <w:t>2.01</w:t>
      </w:r>
      <w:r>
        <w:rPr>
          <w:rFonts w:hint="eastAsia"/>
          <w:sz w:val="32"/>
          <w:szCs w:val="32"/>
        </w:rPr>
        <w:t>万元，完成年初预算的</w:t>
      </w:r>
      <w:r>
        <w:rPr>
          <w:rFonts w:hint="eastAsia" w:ascii="Times New Roman" w:hAnsi="Times New Roman" w:cs="Times New Roman"/>
          <w:sz w:val="32"/>
          <w:szCs w:val="32"/>
        </w:rPr>
        <w:t>100</w:t>
      </w:r>
      <w:r>
        <w:rPr>
          <w:rFonts w:ascii="Times New Roman" w:hAnsi="Times New Roman" w:cs="Times New Roman"/>
          <w:sz w:val="32"/>
          <w:szCs w:val="32"/>
        </w:rPr>
        <w:t xml:space="preserve"> </w:t>
      </w:r>
      <w:r>
        <w:rPr>
          <w:rFonts w:hint="eastAsia"/>
          <w:sz w:val="32"/>
          <w:szCs w:val="32"/>
        </w:rPr>
        <w:t>%。决算数与年初预算数的差异原因：年初预算支出功能分类科目填写错误，故本项目年初无预算数，调剂后决算产生数据。</w:t>
      </w:r>
    </w:p>
    <w:p>
      <w:pPr>
        <w:spacing w:before="100" w:beforeAutospacing="1" w:after="100" w:afterAutospacing="1" w:line="560" w:lineRule="atLeast"/>
        <w:ind w:firstLine="643"/>
        <w:jc w:val="both"/>
        <w:rPr>
          <w:rFonts w:ascii="楷体" w:hAnsi="楷体" w:eastAsia="楷体" w:cs="楷体"/>
          <w:b/>
          <w:bCs/>
          <w:sz w:val="32"/>
          <w:szCs w:val="32"/>
        </w:rPr>
      </w:pPr>
      <w:r>
        <w:rPr>
          <w:rFonts w:hint="eastAsia" w:ascii="楷体" w:hAnsi="楷体" w:eastAsia="楷体" w:cs="楷体"/>
          <w:b/>
          <w:bCs/>
          <w:sz w:val="32"/>
          <w:szCs w:val="32"/>
        </w:rPr>
        <w:t>（三）资源勘探工业信息等支出（类）</w:t>
      </w:r>
    </w:p>
    <w:p>
      <w:pPr>
        <w:pStyle w:val="38"/>
        <w:ind w:firstLine="640" w:firstLineChars="200"/>
        <w:rPr>
          <w:rFonts w:hint="default"/>
        </w:rPr>
      </w:pPr>
      <w:r>
        <w:rPr>
          <w:rFonts w:ascii="宋体" w:hAnsi="宋体" w:eastAsia="宋体" w:cs="宋体"/>
          <w:szCs w:val="32"/>
        </w:rPr>
        <w:t>资源勘探工业信息等支出类决算数为</w:t>
      </w:r>
      <w:r>
        <w:rPr>
          <w:rFonts w:ascii="Times New Roman" w:hAnsi="Times New Roman" w:eastAsia="宋体"/>
          <w:szCs w:val="32"/>
        </w:rPr>
        <w:t>169.88</w:t>
      </w:r>
      <w:r>
        <w:rPr>
          <w:rFonts w:ascii="宋体" w:hAnsi="宋体" w:eastAsia="宋体" w:cs="宋体"/>
          <w:szCs w:val="32"/>
        </w:rPr>
        <w:t>万元，与年初预算相比增加</w:t>
      </w:r>
      <w:r>
        <w:rPr>
          <w:rFonts w:ascii="Times New Roman" w:hAnsi="Times New Roman" w:eastAsia="宋体"/>
          <w:szCs w:val="32"/>
        </w:rPr>
        <w:t>44.77</w:t>
      </w:r>
      <w:r>
        <w:rPr>
          <w:rFonts w:ascii="宋体" w:hAnsi="宋体" w:eastAsia="宋体" w:cs="宋体"/>
          <w:szCs w:val="32"/>
        </w:rPr>
        <w:t>万元。其中：</w:t>
      </w:r>
    </w:p>
    <w:p>
      <w:pPr>
        <w:pStyle w:val="38"/>
        <w:ind w:firstLine="640" w:firstLineChars="200"/>
        <w:rPr>
          <w:rFonts w:hint="default" w:ascii="Times New Roman" w:hAnsi="Times New Roman" w:eastAsia="宋体"/>
          <w:szCs w:val="32"/>
        </w:rPr>
      </w:pPr>
      <w:r>
        <w:rPr>
          <w:rFonts w:ascii="Times New Roman" w:hAnsi="Times New Roman" w:eastAsia="宋体"/>
          <w:szCs w:val="32"/>
        </w:rPr>
        <w:t>1.国有资产监管（款）机关服务（项）。</w:t>
      </w:r>
      <w:r>
        <w:rPr>
          <w:rFonts w:ascii="宋体" w:hAnsi="宋体" w:eastAsia="宋体" w:cs="宋体"/>
          <w:szCs w:val="32"/>
        </w:rPr>
        <w:t>年初预算</w:t>
      </w:r>
      <w:r>
        <w:rPr>
          <w:rFonts w:ascii="Times New Roman" w:hAnsi="Times New Roman"/>
          <w:szCs w:val="32"/>
        </w:rPr>
        <w:t>125.11</w:t>
      </w:r>
      <w:r>
        <w:rPr>
          <w:rFonts w:ascii="宋体" w:hAnsi="宋体" w:eastAsia="宋体" w:cs="宋体"/>
          <w:szCs w:val="32"/>
        </w:rPr>
        <w:t>万元，支出决算</w:t>
      </w:r>
      <w:r>
        <w:rPr>
          <w:rFonts w:ascii="Times New Roman" w:hAnsi="Times New Roman"/>
          <w:szCs w:val="32"/>
        </w:rPr>
        <w:t>136.08</w:t>
      </w:r>
      <w:r>
        <w:rPr>
          <w:rFonts w:ascii="宋体" w:hAnsi="宋体" w:eastAsia="宋体" w:cs="宋体"/>
          <w:szCs w:val="32"/>
        </w:rPr>
        <w:t>万元，完成年初预算的</w:t>
      </w:r>
      <w:r>
        <w:rPr>
          <w:rFonts w:ascii="Times New Roman" w:hAnsi="Times New Roman"/>
          <w:szCs w:val="32"/>
        </w:rPr>
        <w:t>108.76</w:t>
      </w:r>
      <w:r>
        <w:rPr>
          <w:rFonts w:hint="default" w:ascii="Times New Roman" w:hAnsi="Times New Roman" w:eastAsia="宋体"/>
          <w:szCs w:val="32"/>
        </w:rPr>
        <w:t xml:space="preserve"> </w:t>
      </w:r>
      <w:r>
        <w:rPr>
          <w:rFonts w:ascii="宋体" w:hAnsi="宋体" w:eastAsia="宋体" w:cs="宋体"/>
          <w:szCs w:val="32"/>
        </w:rPr>
        <w:t>%。决算数与年初预算数的差异原因：追加工资。</w:t>
      </w:r>
    </w:p>
    <w:p>
      <w:pPr>
        <w:spacing w:before="100" w:beforeAutospacing="1" w:after="100" w:afterAutospacing="1" w:line="560" w:lineRule="atLeast"/>
        <w:ind w:firstLine="640" w:firstLineChars="200"/>
        <w:jc w:val="both"/>
      </w:pPr>
      <w:r>
        <w:rPr>
          <w:rFonts w:hint="eastAsia" w:ascii="Times New Roman" w:hAnsi="Times New Roman" w:cs="Times New Roman"/>
          <w:sz w:val="32"/>
          <w:szCs w:val="32"/>
        </w:rPr>
        <w:t>2.国有资产监管（款）其他国有资产监管支出（项）。</w:t>
      </w:r>
      <w:r>
        <w:rPr>
          <w:rFonts w:hint="eastAsia"/>
          <w:sz w:val="32"/>
          <w:szCs w:val="32"/>
        </w:rPr>
        <w:t>年初预算</w:t>
      </w:r>
      <w:r>
        <w:rPr>
          <w:rFonts w:hint="eastAsia" w:ascii="Times New Roman" w:hAnsi="Times New Roman" w:cs="Times New Roman"/>
          <w:sz w:val="32"/>
          <w:szCs w:val="32"/>
        </w:rPr>
        <w:t>0.00</w:t>
      </w:r>
      <w:r>
        <w:rPr>
          <w:rFonts w:hint="eastAsia"/>
          <w:sz w:val="32"/>
          <w:szCs w:val="32"/>
        </w:rPr>
        <w:t>万元，支出决算</w:t>
      </w:r>
      <w:r>
        <w:rPr>
          <w:rFonts w:hint="eastAsia" w:ascii="Times New Roman" w:hAnsi="Times New Roman" w:cs="Times New Roman"/>
          <w:sz w:val="32"/>
          <w:szCs w:val="32"/>
        </w:rPr>
        <w:t>33.80</w:t>
      </w:r>
      <w:r>
        <w:rPr>
          <w:rFonts w:hint="eastAsia"/>
          <w:sz w:val="32"/>
          <w:szCs w:val="32"/>
        </w:rPr>
        <w:t>万元，完成年初预算的</w:t>
      </w:r>
      <w:r>
        <w:rPr>
          <w:rFonts w:hint="eastAsia" w:ascii="Times New Roman" w:hAnsi="Times New Roman" w:cs="Times New Roman"/>
          <w:sz w:val="32"/>
          <w:szCs w:val="32"/>
        </w:rPr>
        <w:t>100</w:t>
      </w:r>
      <w:r>
        <w:rPr>
          <w:rFonts w:ascii="Times New Roman" w:hAnsi="Times New Roman" w:cs="Times New Roman"/>
          <w:sz w:val="32"/>
          <w:szCs w:val="32"/>
        </w:rPr>
        <w:t xml:space="preserve"> </w:t>
      </w:r>
      <w:r>
        <w:rPr>
          <w:rFonts w:hint="eastAsia"/>
          <w:sz w:val="32"/>
          <w:szCs w:val="32"/>
        </w:rPr>
        <w:t>%。决算数与年初预算数的差异原因：年初预算支出功能分类科目填写错误，故本项目年初无预算数，调剂后决算产生数据。</w:t>
      </w:r>
    </w:p>
    <w:p>
      <w:pPr>
        <w:spacing w:before="100" w:beforeAutospacing="1" w:after="100" w:afterAutospacing="1" w:line="560" w:lineRule="atLeast"/>
        <w:ind w:firstLine="643"/>
        <w:jc w:val="both"/>
      </w:pPr>
      <w:r>
        <w:rPr>
          <w:rFonts w:hint="eastAsia" w:ascii="楷体" w:hAnsi="楷体" w:eastAsia="楷体" w:cs="楷体"/>
          <w:b/>
          <w:bCs/>
          <w:sz w:val="32"/>
          <w:szCs w:val="32"/>
        </w:rPr>
        <w:t>（四）住房保障支出（类）</w:t>
      </w:r>
    </w:p>
    <w:p>
      <w:pPr>
        <w:spacing w:before="100" w:beforeAutospacing="1" w:after="100" w:afterAutospacing="1" w:line="560" w:lineRule="atLeast"/>
        <w:ind w:firstLine="640"/>
        <w:jc w:val="both"/>
      </w:pPr>
      <w:r>
        <w:rPr>
          <w:rFonts w:hint="eastAsia"/>
          <w:sz w:val="32"/>
          <w:szCs w:val="32"/>
        </w:rPr>
        <w:t>住房保障支出类决算数为</w:t>
      </w:r>
      <w:r>
        <w:rPr>
          <w:rFonts w:ascii="Times New Roman" w:hAnsi="Times New Roman" w:cs="Times New Roman"/>
          <w:sz w:val="32"/>
          <w:szCs w:val="32"/>
        </w:rPr>
        <w:t>4.90</w:t>
      </w:r>
      <w:r>
        <w:rPr>
          <w:rFonts w:hint="eastAsia"/>
          <w:sz w:val="32"/>
          <w:szCs w:val="32"/>
        </w:rPr>
        <w:t>万元，与年初预算相比增加</w:t>
      </w:r>
      <w:r>
        <w:rPr>
          <w:rFonts w:ascii="Times New Roman" w:hAnsi="Times New Roman" w:cs="Times New Roman"/>
          <w:sz w:val="32"/>
          <w:szCs w:val="32"/>
        </w:rPr>
        <w:t>0.88</w:t>
      </w:r>
      <w:r>
        <w:rPr>
          <w:rFonts w:hint="eastAsia"/>
          <w:sz w:val="32"/>
          <w:szCs w:val="32"/>
        </w:rPr>
        <w:t>万元。其中：</w:t>
      </w:r>
    </w:p>
    <w:p>
      <w:pPr>
        <w:numPr>
          <w:ilvl w:val="0"/>
          <w:numId w:val="4"/>
        </w:numPr>
        <w:spacing w:before="100" w:beforeAutospacing="1" w:after="100" w:afterAutospacing="1" w:line="560" w:lineRule="atLeast"/>
        <w:ind w:firstLine="640"/>
        <w:jc w:val="both"/>
        <w:rPr>
          <w:sz w:val="32"/>
          <w:szCs w:val="32"/>
        </w:rPr>
      </w:pPr>
      <w:r>
        <w:rPr>
          <w:rFonts w:hint="eastAsia"/>
          <w:sz w:val="32"/>
          <w:szCs w:val="32"/>
        </w:rPr>
        <w:t>住房改革支出（款）住房公积金（项）。年初预算</w:t>
      </w:r>
      <w:r>
        <w:rPr>
          <w:sz w:val="32"/>
          <w:szCs w:val="32"/>
        </w:rPr>
        <w:t>4.</w:t>
      </w:r>
      <w:r>
        <w:rPr>
          <w:rFonts w:hint="eastAsia"/>
          <w:sz w:val="32"/>
          <w:szCs w:val="32"/>
        </w:rPr>
        <w:t>02万元，支出决算</w:t>
      </w:r>
      <w:r>
        <w:rPr>
          <w:sz w:val="32"/>
          <w:szCs w:val="32"/>
        </w:rPr>
        <w:t>4.90</w:t>
      </w:r>
      <w:r>
        <w:rPr>
          <w:rFonts w:hint="eastAsia"/>
          <w:sz w:val="32"/>
          <w:szCs w:val="32"/>
        </w:rPr>
        <w:t>万元，完成年初预算的</w:t>
      </w:r>
      <w:r>
        <w:rPr>
          <w:rFonts w:hint="eastAsia" w:ascii="Times New Roman" w:hAnsi="Times New Roman" w:cs="Times New Roman"/>
          <w:sz w:val="32"/>
          <w:szCs w:val="32"/>
        </w:rPr>
        <w:t>121.89</w:t>
      </w:r>
      <w:r>
        <w:rPr>
          <w:rFonts w:hint="eastAsia"/>
          <w:sz w:val="32"/>
          <w:szCs w:val="32"/>
        </w:rPr>
        <w:t>%。决算数与年初预算数的差异原因：调整基数。</w:t>
      </w:r>
    </w:p>
    <w:p>
      <w:pPr>
        <w:spacing w:before="100" w:beforeAutospacing="1" w:after="100" w:afterAutospacing="1" w:line="600" w:lineRule="atLeast"/>
        <w:ind w:firstLine="643"/>
        <w:jc w:val="both"/>
      </w:pPr>
      <w:r>
        <w:rPr>
          <w:rFonts w:hint="eastAsia" w:ascii="黑体" w:hAnsi="黑体" w:eastAsia="黑体"/>
          <w:b/>
          <w:bCs/>
          <w:sz w:val="32"/>
          <w:szCs w:val="32"/>
        </w:rPr>
        <w:t>六、一般公共预算基本支出决算情况说明</w:t>
      </w:r>
    </w:p>
    <w:p>
      <w:pPr>
        <w:spacing w:before="100" w:beforeAutospacing="1" w:after="100" w:afterAutospacing="1" w:line="560" w:lineRule="atLeast"/>
        <w:ind w:firstLine="640"/>
        <w:jc w:val="both"/>
      </w:pPr>
      <w:r>
        <w:rPr>
          <w:rFonts w:hint="eastAsia"/>
          <w:sz w:val="32"/>
          <w:szCs w:val="32"/>
          <w:lang w:eastAsia="zh-CN"/>
        </w:rPr>
        <w:t>包头市人民政府国有资产监督管理委员会（部门）</w:t>
      </w:r>
      <w:r>
        <w:rPr>
          <w:rFonts w:hint="eastAsia"/>
          <w:sz w:val="32"/>
          <w:szCs w:val="32"/>
        </w:rPr>
        <w:t>单位2022年度一般公共预算财政拨款基本支出决算</w:t>
      </w:r>
      <w:r>
        <w:rPr>
          <w:rFonts w:ascii="Times New Roman" w:hAnsi="Times New Roman" w:cs="Times New Roman"/>
          <w:sz w:val="32"/>
          <w:szCs w:val="32"/>
          <w:u w:val="single"/>
        </w:rPr>
        <w:t>563.01</w:t>
      </w:r>
      <w:r>
        <w:rPr>
          <w:rFonts w:hint="eastAsia"/>
          <w:sz w:val="32"/>
          <w:szCs w:val="32"/>
        </w:rPr>
        <w:t>万元，其中：</w:t>
      </w:r>
    </w:p>
    <w:p>
      <w:pPr>
        <w:spacing w:before="100" w:beforeAutospacing="1" w:after="100" w:afterAutospacing="1" w:line="560" w:lineRule="atLeast"/>
        <w:ind w:firstLine="643"/>
        <w:jc w:val="both"/>
      </w:pPr>
      <w:r>
        <w:rPr>
          <w:rFonts w:hint="eastAsia"/>
          <w:b/>
          <w:bCs/>
          <w:sz w:val="32"/>
          <w:szCs w:val="32"/>
        </w:rPr>
        <w:t>（一）人员经费</w:t>
      </w:r>
      <w:r>
        <w:rPr>
          <w:rFonts w:ascii="Times New Roman" w:hAnsi="Times New Roman" w:cs="Times New Roman"/>
          <w:b/>
          <w:bCs/>
          <w:sz w:val="32"/>
          <w:szCs w:val="32"/>
          <w:u w:val="single"/>
        </w:rPr>
        <w:t>536.34</w:t>
      </w:r>
      <w:r>
        <w:rPr>
          <w:rFonts w:hint="eastAsia"/>
          <w:b/>
          <w:bCs/>
          <w:sz w:val="32"/>
          <w:szCs w:val="32"/>
        </w:rPr>
        <w:t>万元</w:t>
      </w:r>
      <w:r>
        <w:rPr>
          <w:rFonts w:hint="eastAsia"/>
          <w:sz w:val="32"/>
          <w:szCs w:val="32"/>
        </w:rPr>
        <w:t>。主要包括：基本工资110.66万元、津贴补贴130.77万元、奖金68.03万元、社会保障缴费70.89万元、退休费126.96万元、抚恤金4.84万元、住房公积金24.19万元。</w:t>
      </w:r>
    </w:p>
    <w:p>
      <w:pPr>
        <w:spacing w:before="100" w:beforeAutospacing="1" w:after="100" w:afterAutospacing="1" w:line="560" w:lineRule="atLeast"/>
        <w:ind w:firstLine="643"/>
        <w:jc w:val="both"/>
        <w:rPr>
          <w:sz w:val="32"/>
          <w:szCs w:val="32"/>
        </w:rPr>
      </w:pPr>
      <w:r>
        <w:rPr>
          <w:rFonts w:hint="eastAsia"/>
          <w:b/>
          <w:bCs/>
          <w:sz w:val="32"/>
          <w:szCs w:val="32"/>
        </w:rPr>
        <w:t>（二）公用经费</w:t>
      </w:r>
      <w:r>
        <w:rPr>
          <w:rFonts w:ascii="Times New Roman" w:hAnsi="Times New Roman" w:cs="Times New Roman"/>
          <w:b/>
          <w:bCs/>
          <w:sz w:val="32"/>
          <w:szCs w:val="32"/>
          <w:u w:val="single"/>
        </w:rPr>
        <w:t>26.67</w:t>
      </w:r>
      <w:r>
        <w:rPr>
          <w:rFonts w:hint="eastAsia"/>
          <w:b/>
          <w:bCs/>
          <w:sz w:val="32"/>
          <w:szCs w:val="32"/>
        </w:rPr>
        <w:t>万元</w:t>
      </w:r>
      <w:r>
        <w:rPr>
          <w:rFonts w:hint="eastAsia"/>
          <w:sz w:val="32"/>
          <w:szCs w:val="32"/>
        </w:rPr>
        <w:t>。主要包括：办公费9.15万元、邮电费0.94万元、物业管理费1.59万元、差旅费1.37万元、培训费0.24万元、公务接待费0.47万元、劳务费1.03万元、工会经费4.14万元、福利费5.78万元、公务用车运行维护费0.65万元、其他交通费用0.05万元、其他商品和服务支出0.86万元、办公设备购置0.4万元。</w:t>
      </w:r>
    </w:p>
    <w:p>
      <w:pPr>
        <w:spacing w:before="100" w:beforeAutospacing="1" w:after="100" w:afterAutospacing="1" w:line="560" w:lineRule="atLeast"/>
        <w:ind w:firstLine="640"/>
        <w:jc w:val="both"/>
      </w:pPr>
      <w:r>
        <w:rPr>
          <w:rFonts w:hint="eastAsia"/>
          <w:sz w:val="32"/>
          <w:szCs w:val="32"/>
        </w:rPr>
        <w:t>包头市国资国企改革发展促进中心单位2022年度一般公共预算财政拨款基本支出决算</w:t>
      </w:r>
      <w:r>
        <w:rPr>
          <w:rFonts w:ascii="Times New Roman" w:hAnsi="Times New Roman" w:cs="Times New Roman"/>
          <w:sz w:val="32"/>
          <w:szCs w:val="32"/>
        </w:rPr>
        <w:t>140.39</w:t>
      </w:r>
      <w:r>
        <w:rPr>
          <w:rFonts w:hint="eastAsia"/>
          <w:sz w:val="32"/>
          <w:szCs w:val="32"/>
        </w:rPr>
        <w:t>万元，其中：</w:t>
      </w:r>
    </w:p>
    <w:p>
      <w:pPr>
        <w:spacing w:before="100" w:beforeAutospacing="1" w:after="100" w:afterAutospacing="1" w:line="560" w:lineRule="atLeast"/>
        <w:ind w:firstLine="643"/>
        <w:jc w:val="both"/>
      </w:pPr>
      <w:r>
        <w:rPr>
          <w:rFonts w:hint="eastAsia"/>
          <w:b/>
          <w:bCs/>
          <w:sz w:val="32"/>
          <w:szCs w:val="32"/>
        </w:rPr>
        <w:t>（一）人员经费</w:t>
      </w:r>
      <w:r>
        <w:rPr>
          <w:rFonts w:ascii="Times New Roman" w:hAnsi="Times New Roman" w:cs="Times New Roman"/>
          <w:sz w:val="32"/>
          <w:szCs w:val="32"/>
        </w:rPr>
        <w:t>135.57</w:t>
      </w:r>
      <w:r>
        <w:rPr>
          <w:rFonts w:hint="eastAsia"/>
          <w:b/>
          <w:bCs/>
          <w:sz w:val="32"/>
          <w:szCs w:val="32"/>
        </w:rPr>
        <w:t>万元</w:t>
      </w:r>
      <w:r>
        <w:rPr>
          <w:rFonts w:hint="eastAsia"/>
          <w:sz w:val="32"/>
          <w:szCs w:val="32"/>
        </w:rPr>
        <w:t>。主要包括：基本工资、津贴补贴、奖金、社会保障缴费、绩效工资、退休费、抚恤金、住房公积金。</w:t>
      </w:r>
    </w:p>
    <w:p>
      <w:pPr>
        <w:spacing w:before="100" w:beforeAutospacing="1" w:after="100" w:afterAutospacing="1" w:line="560" w:lineRule="atLeast"/>
        <w:ind w:firstLine="643"/>
        <w:jc w:val="both"/>
        <w:rPr>
          <w:sz w:val="32"/>
          <w:szCs w:val="32"/>
        </w:rPr>
      </w:pPr>
      <w:r>
        <w:rPr>
          <w:rFonts w:hint="eastAsia"/>
          <w:b/>
          <w:bCs/>
          <w:sz w:val="32"/>
          <w:szCs w:val="32"/>
        </w:rPr>
        <w:t>（二）公用经费</w:t>
      </w:r>
      <w:r>
        <w:rPr>
          <w:rFonts w:ascii="Times New Roman" w:hAnsi="Times New Roman" w:cs="Times New Roman"/>
          <w:sz w:val="32"/>
          <w:szCs w:val="32"/>
        </w:rPr>
        <w:t>4.82</w:t>
      </w:r>
      <w:r>
        <w:rPr>
          <w:rFonts w:hint="eastAsia"/>
          <w:b/>
          <w:bCs/>
          <w:sz w:val="32"/>
          <w:szCs w:val="32"/>
        </w:rPr>
        <w:t>万元</w:t>
      </w:r>
      <w:r>
        <w:rPr>
          <w:rFonts w:hint="eastAsia"/>
          <w:sz w:val="32"/>
          <w:szCs w:val="32"/>
        </w:rPr>
        <w:t>。主要包括：办公费、工会经费、福利费、其他交通费用。</w:t>
      </w:r>
    </w:p>
    <w:p>
      <w:pPr>
        <w:spacing w:before="100" w:beforeAutospacing="1" w:after="100" w:afterAutospacing="1" w:line="560" w:lineRule="atLeast"/>
        <w:ind w:firstLine="640"/>
        <w:jc w:val="both"/>
      </w:pPr>
      <w:r>
        <w:rPr>
          <w:rFonts w:hint="eastAsia"/>
          <w:sz w:val="32"/>
          <w:szCs w:val="32"/>
        </w:rPr>
        <w:t>包头市国资国企改革发展促进中心单位2022年度一般公共预算财政拨款基本支出决算</w:t>
      </w:r>
      <w:r>
        <w:rPr>
          <w:rFonts w:ascii="Times New Roman" w:hAnsi="Times New Roman" w:cs="Times New Roman"/>
          <w:sz w:val="32"/>
          <w:szCs w:val="32"/>
        </w:rPr>
        <w:t>140.39</w:t>
      </w:r>
      <w:r>
        <w:rPr>
          <w:rFonts w:hint="eastAsia"/>
          <w:sz w:val="32"/>
          <w:szCs w:val="32"/>
        </w:rPr>
        <w:t>万元，其中：</w:t>
      </w:r>
    </w:p>
    <w:p>
      <w:pPr>
        <w:spacing w:before="100" w:beforeAutospacing="1" w:after="100" w:afterAutospacing="1" w:line="560" w:lineRule="atLeast"/>
        <w:ind w:firstLine="643"/>
        <w:jc w:val="both"/>
      </w:pPr>
      <w:r>
        <w:rPr>
          <w:rFonts w:hint="eastAsia"/>
          <w:b/>
          <w:bCs/>
          <w:sz w:val="32"/>
          <w:szCs w:val="32"/>
        </w:rPr>
        <w:t>（一）人员经费</w:t>
      </w:r>
      <w:r>
        <w:rPr>
          <w:rFonts w:ascii="Times New Roman" w:hAnsi="Times New Roman" w:cs="Times New Roman"/>
          <w:sz w:val="32"/>
          <w:szCs w:val="32"/>
        </w:rPr>
        <w:t>135.57</w:t>
      </w:r>
      <w:r>
        <w:rPr>
          <w:rFonts w:hint="eastAsia"/>
          <w:b/>
          <w:bCs/>
          <w:sz w:val="32"/>
          <w:szCs w:val="32"/>
        </w:rPr>
        <w:t>万元</w:t>
      </w:r>
      <w:r>
        <w:rPr>
          <w:rFonts w:hint="eastAsia"/>
          <w:sz w:val="32"/>
          <w:szCs w:val="32"/>
        </w:rPr>
        <w:t>。主要包括：基本工资、津贴补贴、奖金、社会保障缴费、绩效工资、退休费、抚恤金、住房公积金。</w:t>
      </w:r>
    </w:p>
    <w:p>
      <w:pPr>
        <w:spacing w:before="100" w:beforeAutospacing="1" w:after="100" w:afterAutospacing="1" w:line="560" w:lineRule="atLeast"/>
        <w:ind w:firstLine="643"/>
        <w:jc w:val="both"/>
      </w:pPr>
      <w:r>
        <w:rPr>
          <w:rFonts w:hint="eastAsia"/>
          <w:b/>
          <w:bCs/>
          <w:sz w:val="32"/>
          <w:szCs w:val="32"/>
        </w:rPr>
        <w:t>（二）公用经费</w:t>
      </w:r>
      <w:r>
        <w:rPr>
          <w:rFonts w:ascii="Times New Roman" w:hAnsi="Times New Roman" w:cs="Times New Roman"/>
          <w:sz w:val="32"/>
          <w:szCs w:val="32"/>
        </w:rPr>
        <w:t>4.82</w:t>
      </w:r>
      <w:r>
        <w:rPr>
          <w:rFonts w:hint="eastAsia"/>
          <w:b/>
          <w:bCs/>
          <w:sz w:val="32"/>
          <w:szCs w:val="32"/>
        </w:rPr>
        <w:t>万元</w:t>
      </w:r>
      <w:r>
        <w:rPr>
          <w:rFonts w:hint="eastAsia"/>
          <w:sz w:val="32"/>
          <w:szCs w:val="32"/>
        </w:rPr>
        <w:t>。主要包括：办公费、工会经费、福利费、其他交通费用。</w:t>
      </w:r>
    </w:p>
    <w:p>
      <w:pPr>
        <w:spacing w:before="100" w:beforeAutospacing="1" w:after="100" w:afterAutospacing="1" w:line="600" w:lineRule="atLeast"/>
        <w:ind w:firstLine="643"/>
        <w:jc w:val="both"/>
      </w:pPr>
      <w:r>
        <w:rPr>
          <w:rFonts w:hint="eastAsia" w:ascii="黑体" w:hAnsi="黑体" w:eastAsia="黑体"/>
          <w:b/>
          <w:bCs/>
          <w:color w:val="000000"/>
          <w:sz w:val="32"/>
          <w:szCs w:val="32"/>
        </w:rPr>
        <w:t>七、一般公共预算项目支出决算情况说明</w:t>
      </w:r>
    </w:p>
    <w:p>
      <w:pPr>
        <w:spacing w:before="100" w:beforeAutospacing="1" w:after="100" w:afterAutospacing="1" w:line="560" w:lineRule="atLeast"/>
        <w:ind w:firstLine="640"/>
        <w:jc w:val="both"/>
      </w:pPr>
      <w:r>
        <w:rPr>
          <w:rFonts w:hint="eastAsia"/>
          <w:sz w:val="32"/>
          <w:szCs w:val="32"/>
          <w:lang w:eastAsia="zh-CN"/>
        </w:rPr>
        <w:t>包头市人民政府国有资产监督管理委员会（部门）</w:t>
      </w:r>
      <w:r>
        <w:rPr>
          <w:rFonts w:hint="eastAsia"/>
          <w:sz w:val="32"/>
          <w:szCs w:val="32"/>
        </w:rPr>
        <w:t>单位2022年度一般公共预算财政拨款项目支出决算</w:t>
      </w:r>
      <w:r>
        <w:rPr>
          <w:rFonts w:ascii="Times New Roman" w:hAnsi="Times New Roman" w:cs="Times New Roman"/>
          <w:sz w:val="32"/>
          <w:szCs w:val="32"/>
          <w:u w:val="single"/>
        </w:rPr>
        <w:t>566.75</w:t>
      </w:r>
      <w:r>
        <w:rPr>
          <w:rFonts w:hint="eastAsia"/>
          <w:sz w:val="32"/>
          <w:szCs w:val="32"/>
        </w:rPr>
        <w:t>万元，其中：</w:t>
      </w:r>
    </w:p>
    <w:p>
      <w:pPr>
        <w:spacing w:before="100" w:beforeAutospacing="1" w:after="100" w:afterAutospacing="1" w:line="560" w:lineRule="atLeast"/>
        <w:ind w:firstLine="643"/>
        <w:jc w:val="both"/>
      </w:pPr>
      <w:r>
        <w:rPr>
          <w:rFonts w:hint="eastAsia"/>
          <w:b/>
          <w:bCs/>
          <w:color w:val="000000"/>
          <w:sz w:val="32"/>
          <w:szCs w:val="32"/>
        </w:rPr>
        <w:t>（一）工资福利支出</w:t>
      </w:r>
      <w:r>
        <w:rPr>
          <w:rFonts w:ascii="Times New Roman" w:hAnsi="Times New Roman" w:cs="Times New Roman"/>
          <w:b/>
          <w:bCs/>
          <w:color w:val="000000"/>
          <w:sz w:val="32"/>
          <w:szCs w:val="32"/>
          <w:u w:val="single"/>
        </w:rPr>
        <w:t>0.00</w:t>
      </w:r>
      <w:r>
        <w:rPr>
          <w:rFonts w:hint="eastAsia"/>
          <w:b/>
          <w:bCs/>
          <w:color w:val="000000"/>
          <w:sz w:val="32"/>
          <w:szCs w:val="32"/>
        </w:rPr>
        <w:t>万元</w:t>
      </w:r>
      <w:r>
        <w:rPr>
          <w:rFonts w:hint="eastAsia"/>
          <w:color w:val="000000"/>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等。</w:t>
      </w:r>
    </w:p>
    <w:p>
      <w:pPr>
        <w:spacing w:before="100" w:beforeAutospacing="1" w:after="100" w:afterAutospacing="1" w:line="560" w:lineRule="atLeast"/>
        <w:ind w:firstLine="643"/>
        <w:jc w:val="both"/>
        <w:rPr>
          <w:color w:val="000000"/>
          <w:sz w:val="32"/>
          <w:szCs w:val="32"/>
        </w:rPr>
      </w:pPr>
      <w:r>
        <w:rPr>
          <w:rFonts w:hint="eastAsia"/>
          <w:b/>
          <w:bCs/>
          <w:color w:val="000000"/>
          <w:sz w:val="32"/>
          <w:szCs w:val="32"/>
        </w:rPr>
        <w:t>（二）商品和服务支出</w:t>
      </w:r>
      <w:r>
        <w:rPr>
          <w:rFonts w:ascii="Times New Roman" w:hAnsi="Times New Roman" w:cs="Times New Roman"/>
          <w:b/>
          <w:bCs/>
          <w:color w:val="000000"/>
          <w:sz w:val="32"/>
          <w:szCs w:val="32"/>
          <w:u w:val="single"/>
        </w:rPr>
        <w:t>19.91</w:t>
      </w:r>
      <w:r>
        <w:rPr>
          <w:rFonts w:hint="eastAsia"/>
          <w:b/>
          <w:bCs/>
          <w:color w:val="000000"/>
          <w:sz w:val="32"/>
          <w:szCs w:val="32"/>
        </w:rPr>
        <w:t>万元</w:t>
      </w:r>
      <w:r>
        <w:rPr>
          <w:rFonts w:hint="eastAsia"/>
          <w:color w:val="000000"/>
          <w:sz w:val="32"/>
          <w:szCs w:val="32"/>
        </w:rPr>
        <w:t>。主要包括：办公费16.65万元，差旅费1.09万元，培训费0.8万元，劳务费0.4万元，福利费0.97万元。</w:t>
      </w:r>
    </w:p>
    <w:p>
      <w:pPr>
        <w:spacing w:before="100" w:beforeAutospacing="1" w:after="100" w:afterAutospacing="1" w:line="560" w:lineRule="atLeast"/>
        <w:ind w:firstLine="643"/>
        <w:jc w:val="both"/>
        <w:rPr>
          <w:color w:val="000000"/>
          <w:sz w:val="32"/>
          <w:szCs w:val="32"/>
        </w:rPr>
      </w:pPr>
      <w:r>
        <w:rPr>
          <w:rFonts w:hint="eastAsia"/>
          <w:b/>
          <w:bCs/>
          <w:color w:val="000000"/>
          <w:sz w:val="32"/>
          <w:szCs w:val="32"/>
        </w:rPr>
        <w:t>（三）资本性支出</w:t>
      </w:r>
      <w:r>
        <w:rPr>
          <w:rFonts w:hint="eastAsia"/>
          <w:b/>
          <w:bCs/>
          <w:color w:val="000000"/>
          <w:sz w:val="32"/>
          <w:szCs w:val="32"/>
          <w:u w:val="single"/>
        </w:rPr>
        <w:t>4.2</w:t>
      </w:r>
      <w:r>
        <w:rPr>
          <w:rFonts w:hint="eastAsia"/>
          <w:b/>
          <w:bCs/>
          <w:color w:val="000000"/>
          <w:sz w:val="32"/>
          <w:szCs w:val="32"/>
        </w:rPr>
        <w:t>万元。</w:t>
      </w:r>
      <w:r>
        <w:rPr>
          <w:rFonts w:hint="eastAsia"/>
          <w:color w:val="000000"/>
          <w:sz w:val="32"/>
          <w:szCs w:val="32"/>
        </w:rPr>
        <w:t>主要包括：办公设备购置4.2万元。</w:t>
      </w:r>
    </w:p>
    <w:p>
      <w:pPr>
        <w:spacing w:before="100" w:beforeAutospacing="1" w:after="100" w:afterAutospacing="1" w:line="560" w:lineRule="atLeast"/>
        <w:ind w:firstLine="643"/>
        <w:jc w:val="both"/>
        <w:rPr>
          <w:color w:val="000000"/>
          <w:sz w:val="32"/>
          <w:szCs w:val="32"/>
        </w:rPr>
      </w:pPr>
      <w:r>
        <w:rPr>
          <w:rFonts w:hint="eastAsia"/>
          <w:b/>
          <w:color w:val="000000"/>
          <w:sz w:val="32"/>
          <w:szCs w:val="32"/>
        </w:rPr>
        <w:t>（四）对企业的补助</w:t>
      </w:r>
      <w:r>
        <w:rPr>
          <w:rFonts w:hint="eastAsia"/>
          <w:b/>
          <w:color w:val="000000"/>
          <w:sz w:val="32"/>
          <w:szCs w:val="32"/>
          <w:u w:val="single"/>
        </w:rPr>
        <w:t>542.65</w:t>
      </w:r>
      <w:r>
        <w:rPr>
          <w:rFonts w:hint="eastAsia"/>
          <w:b/>
          <w:color w:val="000000"/>
          <w:sz w:val="32"/>
          <w:szCs w:val="32"/>
        </w:rPr>
        <w:t>万元。</w:t>
      </w:r>
      <w:r>
        <w:rPr>
          <w:rFonts w:hint="eastAsia"/>
          <w:color w:val="000000"/>
          <w:sz w:val="32"/>
          <w:szCs w:val="32"/>
        </w:rPr>
        <w:t>主要包括：费用补贴542.65万元。</w:t>
      </w:r>
    </w:p>
    <w:p>
      <w:pPr>
        <w:spacing w:before="100" w:beforeAutospacing="1" w:after="100" w:afterAutospacing="1" w:line="560" w:lineRule="atLeast"/>
        <w:ind w:firstLine="643"/>
        <w:jc w:val="both"/>
        <w:rPr>
          <w:color w:val="000000"/>
          <w:sz w:val="32"/>
          <w:szCs w:val="32"/>
        </w:rPr>
      </w:pPr>
    </w:p>
    <w:p>
      <w:pPr>
        <w:spacing w:before="100" w:beforeAutospacing="1" w:after="100" w:afterAutospacing="1" w:line="560" w:lineRule="atLeast"/>
        <w:ind w:firstLine="640"/>
        <w:jc w:val="both"/>
      </w:pPr>
      <w:r>
        <w:rPr>
          <w:rFonts w:hint="eastAsia"/>
          <w:sz w:val="32"/>
          <w:szCs w:val="32"/>
        </w:rPr>
        <w:t>包头市国资国企改革发展促进中心单位2022年度一般公共预算财政拨款项目支出决算</w:t>
      </w:r>
      <w:r>
        <w:rPr>
          <w:rFonts w:ascii="Times New Roman" w:hAnsi="Times New Roman" w:cs="Times New Roman"/>
          <w:sz w:val="32"/>
          <w:szCs w:val="32"/>
        </w:rPr>
        <w:t>114.49</w:t>
      </w:r>
      <w:r>
        <w:rPr>
          <w:rFonts w:hint="eastAsia"/>
          <w:sz w:val="32"/>
          <w:szCs w:val="32"/>
        </w:rPr>
        <w:t>万元，其中：</w:t>
      </w:r>
    </w:p>
    <w:p>
      <w:pPr>
        <w:spacing w:before="100" w:beforeAutospacing="1" w:after="100" w:afterAutospacing="1" w:line="560" w:lineRule="atLeast"/>
        <w:ind w:firstLine="643"/>
        <w:jc w:val="both"/>
      </w:pPr>
      <w:r>
        <w:rPr>
          <w:rFonts w:hint="eastAsia"/>
          <w:b/>
          <w:bCs/>
          <w:color w:val="000000"/>
          <w:sz w:val="32"/>
          <w:szCs w:val="32"/>
        </w:rPr>
        <w:t>（一）工资福利支出</w:t>
      </w:r>
      <w:r>
        <w:rPr>
          <w:rFonts w:ascii="Times New Roman" w:hAnsi="Times New Roman" w:cs="Times New Roman"/>
          <w:b/>
          <w:bCs/>
          <w:color w:val="000000"/>
          <w:sz w:val="32"/>
          <w:szCs w:val="32"/>
        </w:rPr>
        <w:t>0.00</w:t>
      </w:r>
      <w:r>
        <w:rPr>
          <w:rFonts w:hint="eastAsia"/>
          <w:b/>
          <w:bCs/>
          <w:color w:val="000000"/>
          <w:sz w:val="32"/>
          <w:szCs w:val="32"/>
        </w:rPr>
        <w:t>万元</w:t>
      </w:r>
      <w:r>
        <w:rPr>
          <w:rFonts w:hint="eastAsia"/>
          <w:color w:val="000000"/>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等。</w:t>
      </w:r>
    </w:p>
    <w:p>
      <w:pPr>
        <w:spacing w:before="100" w:beforeAutospacing="1" w:after="100" w:afterAutospacing="1" w:line="560" w:lineRule="atLeast"/>
        <w:ind w:firstLine="643"/>
        <w:jc w:val="both"/>
        <w:rPr>
          <w:color w:val="000000"/>
          <w:sz w:val="32"/>
          <w:szCs w:val="32"/>
        </w:rPr>
      </w:pPr>
      <w:r>
        <w:rPr>
          <w:rFonts w:hint="eastAsia"/>
          <w:b/>
          <w:bCs/>
          <w:color w:val="000000"/>
          <w:sz w:val="32"/>
          <w:szCs w:val="32"/>
        </w:rPr>
        <w:t>（二）商品和服务支出</w:t>
      </w:r>
      <w:r>
        <w:rPr>
          <w:rFonts w:ascii="Times New Roman" w:hAnsi="Times New Roman" w:cs="Times New Roman"/>
          <w:b/>
          <w:bCs/>
          <w:color w:val="000000"/>
          <w:sz w:val="32"/>
          <w:szCs w:val="32"/>
        </w:rPr>
        <w:t>0.75</w:t>
      </w:r>
      <w:r>
        <w:rPr>
          <w:rFonts w:hint="eastAsia"/>
          <w:b/>
          <w:bCs/>
          <w:color w:val="000000"/>
          <w:sz w:val="32"/>
          <w:szCs w:val="32"/>
        </w:rPr>
        <w:t>万元</w:t>
      </w:r>
      <w:r>
        <w:rPr>
          <w:rFonts w:hint="eastAsia"/>
          <w:color w:val="000000"/>
          <w:sz w:val="32"/>
          <w:szCs w:val="32"/>
        </w:rPr>
        <w:t>。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pStyle w:val="38"/>
        <w:ind w:firstLine="643" w:firstLineChars="200"/>
        <w:rPr>
          <w:rFonts w:hint="default" w:ascii="宋体" w:hAnsi="宋体" w:eastAsia="宋体" w:cs="宋体"/>
          <w:color w:val="000000"/>
          <w:szCs w:val="32"/>
        </w:rPr>
      </w:pPr>
      <w:r>
        <w:rPr>
          <w:rFonts w:ascii="宋体" w:hAnsi="宋体" w:eastAsia="宋体" w:cs="宋体"/>
          <w:b/>
          <w:bCs/>
          <w:color w:val="000000"/>
          <w:szCs w:val="32"/>
        </w:rPr>
        <w:t>（三）资本性支出2.95万元。</w:t>
      </w:r>
      <w:r>
        <w:rPr>
          <w:rFonts w:ascii="宋体" w:hAnsi="宋体" w:eastAsia="宋体" w:cs="宋体"/>
          <w:color w:val="000000"/>
          <w:szCs w:val="32"/>
        </w:rPr>
        <w:t>主要包括办公设备购置等。</w:t>
      </w:r>
    </w:p>
    <w:p>
      <w:pPr>
        <w:pStyle w:val="38"/>
        <w:ind w:firstLine="643" w:firstLineChars="200"/>
        <w:rPr>
          <w:rFonts w:hint="default" w:ascii="宋体" w:hAnsi="宋体" w:eastAsia="宋体" w:cs="宋体"/>
          <w:color w:val="000000"/>
          <w:szCs w:val="32"/>
        </w:rPr>
      </w:pPr>
      <w:r>
        <w:rPr>
          <w:rFonts w:ascii="宋体" w:hAnsi="宋体" w:eastAsia="宋体" w:cs="宋体"/>
          <w:b/>
          <w:bCs/>
          <w:color w:val="000000"/>
          <w:szCs w:val="32"/>
        </w:rPr>
        <w:t>（四）对企业补助110.8万元。</w:t>
      </w:r>
      <w:r>
        <w:rPr>
          <w:rFonts w:ascii="宋体" w:hAnsi="宋体" w:eastAsia="宋体" w:cs="宋体"/>
          <w:color w:val="000000"/>
          <w:szCs w:val="32"/>
        </w:rPr>
        <w:t>主要包括费用补贴等。</w:t>
      </w:r>
    </w:p>
    <w:p>
      <w:pPr>
        <w:spacing w:before="100" w:beforeAutospacing="1" w:after="100" w:afterAutospacing="1" w:line="560" w:lineRule="atLeast"/>
        <w:ind w:firstLine="640"/>
        <w:jc w:val="both"/>
      </w:pPr>
      <w:r>
        <w:rPr>
          <w:rFonts w:hint="eastAsia"/>
          <w:sz w:val="32"/>
          <w:szCs w:val="32"/>
          <w:lang w:eastAsia="zh-CN"/>
        </w:rPr>
        <w:t>包头市人民政府国有资产监督管理委员会（部门）</w:t>
      </w:r>
      <w:r>
        <w:rPr>
          <w:rFonts w:hint="eastAsia"/>
          <w:sz w:val="32"/>
          <w:szCs w:val="32"/>
        </w:rPr>
        <w:t>单位2022年度一般公共预算财政拨款项目支出决算</w:t>
      </w:r>
      <w:r>
        <w:rPr>
          <w:rFonts w:ascii="Times New Roman" w:hAnsi="Times New Roman" w:cs="Times New Roman"/>
          <w:sz w:val="32"/>
          <w:szCs w:val="32"/>
          <w:u w:val="single"/>
        </w:rPr>
        <w:t>566.75</w:t>
      </w:r>
      <w:r>
        <w:rPr>
          <w:rFonts w:hint="eastAsia"/>
          <w:sz w:val="32"/>
          <w:szCs w:val="32"/>
        </w:rPr>
        <w:t>万元，其中：</w:t>
      </w:r>
    </w:p>
    <w:p>
      <w:pPr>
        <w:spacing w:before="100" w:beforeAutospacing="1" w:after="100" w:afterAutospacing="1" w:line="560" w:lineRule="atLeast"/>
        <w:ind w:firstLine="643"/>
        <w:jc w:val="both"/>
      </w:pPr>
      <w:r>
        <w:rPr>
          <w:rFonts w:hint="eastAsia"/>
          <w:b/>
          <w:bCs/>
          <w:color w:val="000000"/>
          <w:sz w:val="32"/>
          <w:szCs w:val="32"/>
        </w:rPr>
        <w:t>（一）工资福利支出</w:t>
      </w:r>
      <w:r>
        <w:rPr>
          <w:rFonts w:ascii="Times New Roman" w:hAnsi="Times New Roman" w:cs="Times New Roman"/>
          <w:b/>
          <w:bCs/>
          <w:color w:val="000000"/>
          <w:sz w:val="32"/>
          <w:szCs w:val="32"/>
          <w:u w:val="single"/>
        </w:rPr>
        <w:t>0.00</w:t>
      </w:r>
      <w:r>
        <w:rPr>
          <w:rFonts w:hint="eastAsia"/>
          <w:b/>
          <w:bCs/>
          <w:color w:val="000000"/>
          <w:sz w:val="32"/>
          <w:szCs w:val="32"/>
        </w:rPr>
        <w:t>万元</w:t>
      </w:r>
      <w:r>
        <w:rPr>
          <w:rFonts w:hint="eastAsia"/>
          <w:color w:val="000000"/>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等。</w:t>
      </w:r>
    </w:p>
    <w:p>
      <w:pPr>
        <w:spacing w:before="100" w:beforeAutospacing="1" w:after="100" w:afterAutospacing="1" w:line="560" w:lineRule="atLeast"/>
        <w:ind w:firstLine="643"/>
        <w:jc w:val="both"/>
        <w:rPr>
          <w:color w:val="000000"/>
          <w:sz w:val="32"/>
          <w:szCs w:val="32"/>
        </w:rPr>
      </w:pPr>
      <w:r>
        <w:rPr>
          <w:rFonts w:hint="eastAsia"/>
          <w:b/>
          <w:bCs/>
          <w:color w:val="000000"/>
          <w:sz w:val="32"/>
          <w:szCs w:val="32"/>
        </w:rPr>
        <w:t>（二）商品和服务支出</w:t>
      </w:r>
      <w:r>
        <w:rPr>
          <w:rFonts w:ascii="Times New Roman" w:hAnsi="Times New Roman" w:cs="Times New Roman"/>
          <w:b/>
          <w:bCs/>
          <w:color w:val="000000"/>
          <w:sz w:val="32"/>
          <w:szCs w:val="32"/>
          <w:u w:val="single"/>
        </w:rPr>
        <w:t>19.91</w:t>
      </w:r>
      <w:r>
        <w:rPr>
          <w:rFonts w:hint="eastAsia"/>
          <w:b/>
          <w:bCs/>
          <w:color w:val="000000"/>
          <w:sz w:val="32"/>
          <w:szCs w:val="32"/>
        </w:rPr>
        <w:t>万元</w:t>
      </w:r>
      <w:r>
        <w:rPr>
          <w:rFonts w:hint="eastAsia"/>
          <w:color w:val="000000"/>
          <w:sz w:val="32"/>
          <w:szCs w:val="32"/>
        </w:rPr>
        <w:t>。主要包括：办公费16.65万元，差旅费1.09万元，培训费0.8万元，劳务费0.4万元，福利费0.97万元。</w:t>
      </w:r>
    </w:p>
    <w:p>
      <w:pPr>
        <w:spacing w:before="100" w:beforeAutospacing="1" w:after="100" w:afterAutospacing="1" w:line="560" w:lineRule="atLeast"/>
        <w:ind w:firstLine="643"/>
        <w:jc w:val="both"/>
        <w:rPr>
          <w:color w:val="000000"/>
          <w:sz w:val="32"/>
          <w:szCs w:val="32"/>
        </w:rPr>
      </w:pPr>
      <w:r>
        <w:rPr>
          <w:rFonts w:hint="eastAsia"/>
          <w:b/>
          <w:bCs/>
          <w:color w:val="000000"/>
          <w:sz w:val="32"/>
          <w:szCs w:val="32"/>
        </w:rPr>
        <w:t>（三）资本性支出</w:t>
      </w:r>
      <w:r>
        <w:rPr>
          <w:rFonts w:hint="eastAsia"/>
          <w:b/>
          <w:bCs/>
          <w:color w:val="000000"/>
          <w:sz w:val="32"/>
          <w:szCs w:val="32"/>
          <w:u w:val="single"/>
        </w:rPr>
        <w:t>4.2</w:t>
      </w:r>
      <w:r>
        <w:rPr>
          <w:rFonts w:hint="eastAsia"/>
          <w:b/>
          <w:bCs/>
          <w:color w:val="000000"/>
          <w:sz w:val="32"/>
          <w:szCs w:val="32"/>
        </w:rPr>
        <w:t>万元。</w:t>
      </w:r>
      <w:r>
        <w:rPr>
          <w:rFonts w:hint="eastAsia"/>
          <w:color w:val="000000"/>
          <w:sz w:val="32"/>
          <w:szCs w:val="32"/>
        </w:rPr>
        <w:t>主要包括：办公设备购置4.2万元。</w:t>
      </w:r>
    </w:p>
    <w:p>
      <w:pPr>
        <w:spacing w:before="100" w:beforeAutospacing="1" w:after="100" w:afterAutospacing="1" w:line="560" w:lineRule="atLeast"/>
        <w:ind w:firstLine="643"/>
        <w:jc w:val="both"/>
      </w:pPr>
      <w:r>
        <w:rPr>
          <w:rFonts w:hint="eastAsia"/>
          <w:b/>
          <w:color w:val="000000"/>
          <w:sz w:val="32"/>
          <w:szCs w:val="32"/>
        </w:rPr>
        <w:t>（四）对企业的补助</w:t>
      </w:r>
      <w:r>
        <w:rPr>
          <w:rFonts w:hint="eastAsia"/>
          <w:b/>
          <w:color w:val="000000"/>
          <w:sz w:val="32"/>
          <w:szCs w:val="32"/>
          <w:u w:val="single"/>
        </w:rPr>
        <w:t>542.65</w:t>
      </w:r>
      <w:r>
        <w:rPr>
          <w:rFonts w:hint="eastAsia"/>
          <w:b/>
          <w:color w:val="000000"/>
          <w:sz w:val="32"/>
          <w:szCs w:val="32"/>
        </w:rPr>
        <w:t>万元。</w:t>
      </w:r>
      <w:r>
        <w:rPr>
          <w:rFonts w:hint="eastAsia"/>
          <w:color w:val="000000"/>
          <w:sz w:val="32"/>
          <w:szCs w:val="32"/>
        </w:rPr>
        <w:t>主要包括：费用补贴542.65万元。</w:t>
      </w:r>
    </w:p>
    <w:p>
      <w:pPr>
        <w:spacing w:before="100" w:beforeAutospacing="1" w:after="100" w:afterAutospacing="1" w:line="600" w:lineRule="atLeast"/>
        <w:ind w:firstLine="643"/>
        <w:jc w:val="both"/>
      </w:pPr>
      <w:r>
        <w:rPr>
          <w:rFonts w:hint="eastAsia" w:ascii="黑体" w:hAnsi="黑体" w:eastAsia="黑体"/>
          <w:b/>
          <w:bCs/>
          <w:color w:val="000000"/>
          <w:sz w:val="32"/>
          <w:szCs w:val="32"/>
        </w:rPr>
        <w:t>八、</w:t>
      </w:r>
      <w:r>
        <w:rPr>
          <w:rFonts w:hint="eastAsia" w:ascii="黑体" w:hAnsi="黑体" w:eastAsia="黑体"/>
          <w:b/>
          <w:bCs/>
          <w:sz w:val="32"/>
          <w:szCs w:val="32"/>
        </w:rPr>
        <w:t>财政拨款</w:t>
      </w:r>
      <w:r>
        <w:rPr>
          <w:rFonts w:ascii="Times New Roman" w:hAnsi="Times New Roman" w:cs="Times New Roman"/>
          <w:b/>
          <w:bCs/>
          <w:sz w:val="32"/>
          <w:szCs w:val="32"/>
        </w:rPr>
        <w:t>“</w:t>
      </w:r>
      <w:r>
        <w:rPr>
          <w:rFonts w:hint="eastAsia" w:ascii="黑体" w:hAnsi="黑体" w:eastAsia="黑体"/>
          <w:b/>
          <w:bCs/>
          <w:sz w:val="32"/>
          <w:szCs w:val="32"/>
        </w:rPr>
        <w:t>三公</w:t>
      </w:r>
      <w:r>
        <w:rPr>
          <w:rFonts w:ascii="Times New Roman" w:hAnsi="Times New Roman" w:cs="Times New Roman"/>
          <w:b/>
          <w:bCs/>
          <w:sz w:val="32"/>
          <w:szCs w:val="32"/>
        </w:rPr>
        <w:t>”</w:t>
      </w:r>
      <w:r>
        <w:rPr>
          <w:rFonts w:hint="eastAsia" w:ascii="黑体" w:hAnsi="黑体" w:eastAsia="黑体"/>
          <w:b/>
          <w:bCs/>
          <w:sz w:val="32"/>
          <w:szCs w:val="32"/>
        </w:rPr>
        <w:t>经费支出决算情况说明</w:t>
      </w:r>
    </w:p>
    <w:p>
      <w:pPr>
        <w:keepNext/>
        <w:spacing w:before="100" w:beforeAutospacing="1" w:after="100" w:afterAutospacing="1" w:line="560" w:lineRule="atLeast"/>
        <w:ind w:firstLine="643"/>
        <w:jc w:val="both"/>
      </w:pPr>
      <w:r>
        <w:rPr>
          <w:rFonts w:hint="eastAsia" w:ascii="楷体" w:hAnsi="楷体" w:eastAsia="楷体"/>
          <w:b/>
          <w:bCs/>
          <w:sz w:val="32"/>
          <w:szCs w:val="32"/>
        </w:rPr>
        <w:t>（一）财政拨款</w:t>
      </w:r>
      <w:r>
        <w:rPr>
          <w:rFonts w:ascii="Times New Roman" w:hAnsi="Times New Roman" w:cs="Times New Roman"/>
          <w:b/>
          <w:bCs/>
          <w:sz w:val="32"/>
          <w:szCs w:val="32"/>
        </w:rPr>
        <w:t>“</w:t>
      </w:r>
      <w:r>
        <w:rPr>
          <w:rFonts w:hint="eastAsia" w:ascii="楷体" w:hAnsi="楷体" w:eastAsia="楷体"/>
          <w:b/>
          <w:bCs/>
          <w:sz w:val="32"/>
          <w:szCs w:val="32"/>
        </w:rPr>
        <w:t>三公</w:t>
      </w:r>
      <w:r>
        <w:rPr>
          <w:rFonts w:ascii="Times New Roman" w:hAnsi="Times New Roman" w:cs="Times New Roman"/>
          <w:b/>
          <w:bCs/>
          <w:sz w:val="32"/>
          <w:szCs w:val="32"/>
        </w:rPr>
        <w:t>”</w:t>
      </w:r>
      <w:r>
        <w:rPr>
          <w:rFonts w:hint="eastAsia" w:ascii="楷体" w:hAnsi="楷体" w:eastAsia="楷体"/>
          <w:b/>
          <w:bCs/>
          <w:sz w:val="32"/>
          <w:szCs w:val="32"/>
        </w:rPr>
        <w:t>经费支出总体情况说明。</w:t>
      </w:r>
    </w:p>
    <w:p>
      <w:pPr>
        <w:spacing w:before="100" w:beforeAutospacing="1" w:after="100" w:afterAutospacing="1" w:line="560" w:lineRule="atLeast"/>
        <w:ind w:firstLine="640"/>
        <w:jc w:val="both"/>
      </w:pPr>
      <w:r>
        <w:rPr>
          <w:rFonts w:hint="eastAsia"/>
          <w:sz w:val="32"/>
          <w:szCs w:val="32"/>
          <w:lang w:eastAsia="zh-CN"/>
        </w:rPr>
        <w:t>包头市人民政府国有资产监督管理委员会（部门）</w:t>
      </w:r>
      <w:r>
        <w:rPr>
          <w:rFonts w:hint="eastAsia"/>
          <w:sz w:val="32"/>
          <w:szCs w:val="32"/>
        </w:rPr>
        <w:t>单位</w:t>
      </w:r>
      <w:r>
        <w:rPr>
          <w:rFonts w:ascii="Times New Roman" w:hAnsi="Times New Roman" w:cs="Times New Roman"/>
          <w:sz w:val="32"/>
          <w:szCs w:val="32"/>
        </w:rPr>
        <w:t xml:space="preserve"> </w:t>
      </w:r>
      <w:r>
        <w:rPr>
          <w:rFonts w:hint="eastAsia"/>
          <w:sz w:val="32"/>
          <w:szCs w:val="32"/>
        </w:rPr>
        <w:t>2022年度财政拨款</w:t>
      </w:r>
      <w:r>
        <w:rPr>
          <w:rFonts w:ascii="Times New Roman" w:hAnsi="Times New Roman" w:cs="Times New Roman"/>
          <w:sz w:val="32"/>
          <w:szCs w:val="32"/>
        </w:rPr>
        <w:t>“</w:t>
      </w:r>
      <w:r>
        <w:rPr>
          <w:rFonts w:hint="eastAsia"/>
          <w:sz w:val="32"/>
          <w:szCs w:val="32"/>
        </w:rPr>
        <w:t>三公</w:t>
      </w:r>
      <w:r>
        <w:rPr>
          <w:rFonts w:ascii="Times New Roman" w:hAnsi="Times New Roman" w:cs="Times New Roman"/>
          <w:sz w:val="32"/>
          <w:szCs w:val="32"/>
        </w:rPr>
        <w:t>”</w:t>
      </w:r>
      <w:r>
        <w:rPr>
          <w:rFonts w:hint="eastAsia"/>
          <w:sz w:val="32"/>
          <w:szCs w:val="32"/>
        </w:rPr>
        <w:t>经费预算</w:t>
      </w:r>
      <w:r>
        <w:rPr>
          <w:rFonts w:ascii="Times New Roman" w:hAnsi="Times New Roman" w:cs="Times New Roman"/>
          <w:sz w:val="32"/>
          <w:szCs w:val="32"/>
          <w:u w:val="single"/>
        </w:rPr>
        <w:t>3.00</w:t>
      </w:r>
      <w:r>
        <w:rPr>
          <w:rFonts w:hint="eastAsia"/>
          <w:sz w:val="32"/>
          <w:szCs w:val="32"/>
        </w:rPr>
        <w:t>万元，支出决算</w:t>
      </w:r>
      <w:r>
        <w:rPr>
          <w:rFonts w:ascii="Times New Roman" w:hAnsi="Times New Roman" w:cs="Times New Roman"/>
          <w:sz w:val="32"/>
          <w:szCs w:val="32"/>
          <w:u w:val="single"/>
        </w:rPr>
        <w:t>1.12</w:t>
      </w:r>
      <w:r>
        <w:rPr>
          <w:rFonts w:hint="eastAsia"/>
          <w:sz w:val="32"/>
          <w:szCs w:val="32"/>
        </w:rPr>
        <w:t>万元，完成预算的</w:t>
      </w:r>
      <w:r>
        <w:rPr>
          <w:rFonts w:ascii="Times New Roman" w:hAnsi="Times New Roman" w:cs="Times New Roman"/>
          <w:sz w:val="32"/>
          <w:szCs w:val="32"/>
          <w:u w:val="single"/>
        </w:rPr>
        <w:t>37.40</w:t>
      </w:r>
      <w:r>
        <w:rPr>
          <w:rFonts w:hint="eastAsia"/>
          <w:sz w:val="32"/>
          <w:szCs w:val="32"/>
        </w:rPr>
        <w:t>%。其中：因公出国（境）费预算</w:t>
      </w:r>
      <w:r>
        <w:rPr>
          <w:rFonts w:ascii="Times New Roman" w:hAnsi="Times New Roman" w:cs="Times New Roman"/>
          <w:sz w:val="32"/>
          <w:szCs w:val="32"/>
          <w:u w:val="single"/>
        </w:rPr>
        <w:t>0.00</w:t>
      </w:r>
      <w:r>
        <w:rPr>
          <w:rFonts w:hint="eastAsia"/>
          <w:sz w:val="32"/>
          <w:szCs w:val="32"/>
        </w:rPr>
        <w:t>万元，支出决算</w:t>
      </w:r>
      <w:r>
        <w:rPr>
          <w:rFonts w:ascii="Times New Roman" w:hAnsi="Times New Roman" w:cs="Times New Roman"/>
          <w:sz w:val="32"/>
          <w:szCs w:val="32"/>
          <w:u w:val="single"/>
        </w:rPr>
        <w:t>0.00</w:t>
      </w:r>
      <w:r>
        <w:rPr>
          <w:rFonts w:hint="eastAsia"/>
          <w:sz w:val="32"/>
          <w:szCs w:val="32"/>
        </w:rPr>
        <w:t>万元，完成预算的</w:t>
      </w:r>
      <w:r>
        <w:rPr>
          <w:rFonts w:ascii="Times New Roman" w:hAnsi="Times New Roman" w:cs="Times New Roman"/>
          <w:sz w:val="32"/>
          <w:szCs w:val="32"/>
          <w:u w:val="single"/>
        </w:rPr>
        <w:t>0.00</w:t>
      </w:r>
      <w:r>
        <w:rPr>
          <w:rFonts w:hint="eastAsia"/>
          <w:sz w:val="32"/>
          <w:szCs w:val="32"/>
        </w:rPr>
        <w:t>%；公务用车购置及运行维护费预算</w:t>
      </w:r>
      <w:r>
        <w:rPr>
          <w:rFonts w:ascii="Times New Roman" w:hAnsi="Times New Roman" w:cs="Times New Roman"/>
          <w:sz w:val="32"/>
          <w:szCs w:val="32"/>
          <w:u w:val="single"/>
        </w:rPr>
        <w:t>2.50</w:t>
      </w:r>
      <w:r>
        <w:rPr>
          <w:rFonts w:hint="eastAsia"/>
          <w:sz w:val="32"/>
          <w:szCs w:val="32"/>
        </w:rPr>
        <w:t>万元，支出决算</w:t>
      </w:r>
      <w:r>
        <w:rPr>
          <w:rFonts w:ascii="Times New Roman" w:hAnsi="Times New Roman" w:cs="Times New Roman"/>
          <w:sz w:val="32"/>
          <w:szCs w:val="32"/>
          <w:u w:val="single"/>
        </w:rPr>
        <w:t>0.65</w:t>
      </w:r>
      <w:r>
        <w:rPr>
          <w:rFonts w:hint="eastAsia"/>
          <w:sz w:val="32"/>
          <w:szCs w:val="32"/>
        </w:rPr>
        <w:t>万元，完成预算的</w:t>
      </w:r>
      <w:r>
        <w:rPr>
          <w:rFonts w:ascii="Times New Roman" w:hAnsi="Times New Roman" w:cs="Times New Roman"/>
          <w:sz w:val="32"/>
          <w:szCs w:val="32"/>
          <w:u w:val="single"/>
        </w:rPr>
        <w:t>26.00</w:t>
      </w:r>
      <w:r>
        <w:rPr>
          <w:rFonts w:hint="eastAsia"/>
          <w:sz w:val="32"/>
          <w:szCs w:val="32"/>
        </w:rPr>
        <w:t>%；公务接待费预算</w:t>
      </w:r>
      <w:r>
        <w:rPr>
          <w:rFonts w:ascii="Times New Roman" w:hAnsi="Times New Roman" w:cs="Times New Roman"/>
          <w:sz w:val="32"/>
          <w:szCs w:val="32"/>
          <w:u w:val="single"/>
        </w:rPr>
        <w:t>0.50</w:t>
      </w:r>
      <w:r>
        <w:rPr>
          <w:rFonts w:hint="eastAsia"/>
          <w:sz w:val="32"/>
          <w:szCs w:val="32"/>
        </w:rPr>
        <w:t>万元，支出决算</w:t>
      </w:r>
      <w:r>
        <w:rPr>
          <w:rFonts w:ascii="Times New Roman" w:hAnsi="Times New Roman" w:cs="Times New Roman"/>
          <w:sz w:val="32"/>
          <w:szCs w:val="32"/>
          <w:u w:val="single"/>
        </w:rPr>
        <w:t>0.47</w:t>
      </w:r>
      <w:r>
        <w:rPr>
          <w:rFonts w:hint="eastAsia"/>
          <w:sz w:val="32"/>
          <w:szCs w:val="32"/>
        </w:rPr>
        <w:t>万元，完成预算的</w:t>
      </w:r>
      <w:r>
        <w:rPr>
          <w:rFonts w:ascii="Times New Roman" w:hAnsi="Times New Roman" w:cs="Times New Roman"/>
          <w:sz w:val="32"/>
          <w:szCs w:val="32"/>
          <w:u w:val="single"/>
        </w:rPr>
        <w:t>94.37</w:t>
      </w:r>
      <w:r>
        <w:rPr>
          <w:rFonts w:hint="eastAsia"/>
          <w:sz w:val="32"/>
          <w:szCs w:val="32"/>
        </w:rPr>
        <w:t>%。</w:t>
      </w:r>
    </w:p>
    <w:p>
      <w:pPr>
        <w:keepNext/>
        <w:spacing w:before="100" w:beforeAutospacing="1" w:after="100" w:afterAutospacing="1" w:line="560" w:lineRule="atLeast"/>
        <w:ind w:firstLine="643"/>
        <w:jc w:val="both"/>
      </w:pPr>
      <w:r>
        <w:rPr>
          <w:rFonts w:hint="eastAsia" w:ascii="楷体" w:hAnsi="楷体" w:eastAsia="楷体"/>
          <w:b/>
          <w:bCs/>
          <w:sz w:val="32"/>
          <w:szCs w:val="32"/>
        </w:rPr>
        <w:t>（二）财政拨款</w:t>
      </w:r>
      <w:r>
        <w:rPr>
          <w:rFonts w:ascii="Times New Roman" w:hAnsi="Times New Roman" w:cs="Times New Roman"/>
          <w:b/>
          <w:bCs/>
          <w:sz w:val="32"/>
          <w:szCs w:val="32"/>
        </w:rPr>
        <w:t>“</w:t>
      </w:r>
      <w:r>
        <w:rPr>
          <w:rFonts w:hint="eastAsia" w:ascii="楷体" w:hAnsi="楷体" w:eastAsia="楷体"/>
          <w:b/>
          <w:bCs/>
          <w:sz w:val="32"/>
          <w:szCs w:val="32"/>
        </w:rPr>
        <w:t>三公</w:t>
      </w:r>
      <w:r>
        <w:rPr>
          <w:rFonts w:ascii="Times New Roman" w:hAnsi="Times New Roman" w:cs="Times New Roman"/>
          <w:b/>
          <w:bCs/>
          <w:sz w:val="32"/>
          <w:szCs w:val="32"/>
        </w:rPr>
        <w:t>”</w:t>
      </w:r>
      <w:r>
        <w:rPr>
          <w:rFonts w:hint="eastAsia" w:ascii="楷体" w:hAnsi="楷体" w:eastAsia="楷体"/>
          <w:b/>
          <w:bCs/>
          <w:sz w:val="32"/>
          <w:szCs w:val="32"/>
        </w:rPr>
        <w:t>经费支出具体情况说明。</w:t>
      </w:r>
    </w:p>
    <w:p>
      <w:pPr>
        <w:keepNext/>
        <w:spacing w:before="100" w:beforeAutospacing="1" w:after="100" w:afterAutospacing="1" w:line="560" w:lineRule="atLeast"/>
        <w:ind w:firstLine="643"/>
        <w:jc w:val="both"/>
      </w:pPr>
      <w:r>
        <w:rPr>
          <w:rFonts w:hint="eastAsia"/>
          <w:sz w:val="32"/>
          <w:szCs w:val="32"/>
          <w:lang w:eastAsia="zh-CN"/>
        </w:rPr>
        <w:t>包头市人民政府国有资产监督管理委员会（部门）</w:t>
      </w:r>
      <w:r>
        <w:rPr>
          <w:rFonts w:hint="eastAsia"/>
          <w:sz w:val="32"/>
          <w:szCs w:val="32"/>
        </w:rPr>
        <w:t>单位2022年度财政拨款</w:t>
      </w:r>
      <w:r>
        <w:rPr>
          <w:rFonts w:ascii="Times New Roman" w:hAnsi="Times New Roman" w:cs="Times New Roman"/>
          <w:sz w:val="32"/>
          <w:szCs w:val="32"/>
        </w:rPr>
        <w:t>“</w:t>
      </w:r>
      <w:r>
        <w:rPr>
          <w:rFonts w:hint="eastAsia"/>
          <w:sz w:val="32"/>
          <w:szCs w:val="32"/>
        </w:rPr>
        <w:t>三公</w:t>
      </w:r>
      <w:r>
        <w:rPr>
          <w:rFonts w:ascii="Times New Roman" w:hAnsi="Times New Roman" w:cs="Times New Roman"/>
          <w:sz w:val="32"/>
          <w:szCs w:val="32"/>
        </w:rPr>
        <w:t>”</w:t>
      </w:r>
      <w:r>
        <w:rPr>
          <w:rFonts w:hint="eastAsia"/>
          <w:sz w:val="32"/>
          <w:szCs w:val="32"/>
        </w:rPr>
        <w:t>经费支出</w:t>
      </w:r>
      <w:r>
        <w:rPr>
          <w:rFonts w:ascii="Times New Roman" w:hAnsi="Times New Roman" w:cs="Times New Roman"/>
          <w:sz w:val="32"/>
          <w:szCs w:val="32"/>
          <w:u w:val="single"/>
        </w:rPr>
        <w:t>1.12</w:t>
      </w:r>
      <w:r>
        <w:rPr>
          <w:rFonts w:hint="eastAsia"/>
          <w:sz w:val="32"/>
          <w:szCs w:val="32"/>
        </w:rPr>
        <w:t>万元。因公出国（境）费支出</w:t>
      </w:r>
      <w:r>
        <w:rPr>
          <w:rFonts w:ascii="Times New Roman" w:hAnsi="Times New Roman" w:cs="Times New Roman"/>
          <w:sz w:val="32"/>
          <w:szCs w:val="32"/>
          <w:u w:val="single"/>
        </w:rPr>
        <w:t>0.00</w:t>
      </w:r>
      <w:r>
        <w:rPr>
          <w:rFonts w:hint="eastAsia"/>
          <w:sz w:val="32"/>
          <w:szCs w:val="32"/>
        </w:rPr>
        <w:t>万元，占</w:t>
      </w:r>
      <w:r>
        <w:rPr>
          <w:rFonts w:ascii="Times New Roman" w:hAnsi="Times New Roman" w:cs="Times New Roman"/>
          <w:sz w:val="32"/>
          <w:szCs w:val="32"/>
          <w:u w:val="single"/>
        </w:rPr>
        <w:t>0.00</w:t>
      </w:r>
      <w:r>
        <w:rPr>
          <w:rFonts w:hint="eastAsia"/>
          <w:sz w:val="32"/>
          <w:szCs w:val="32"/>
        </w:rPr>
        <w:t>%；公务用车购置及运行维护费支出</w:t>
      </w:r>
      <w:r>
        <w:rPr>
          <w:rFonts w:ascii="Times New Roman" w:hAnsi="Times New Roman" w:cs="Times New Roman"/>
          <w:sz w:val="32"/>
          <w:szCs w:val="32"/>
          <w:u w:val="single"/>
        </w:rPr>
        <w:t>0.65</w:t>
      </w:r>
      <w:r>
        <w:rPr>
          <w:rFonts w:hint="eastAsia"/>
          <w:sz w:val="32"/>
          <w:szCs w:val="32"/>
        </w:rPr>
        <w:t>万元，占</w:t>
      </w:r>
      <w:r>
        <w:rPr>
          <w:rFonts w:ascii="Times New Roman" w:hAnsi="Times New Roman" w:cs="Times New Roman"/>
          <w:sz w:val="32"/>
          <w:szCs w:val="32"/>
          <w:u w:val="single"/>
        </w:rPr>
        <w:t>57.94</w:t>
      </w:r>
      <w:r>
        <w:rPr>
          <w:rFonts w:hint="eastAsia"/>
          <w:sz w:val="32"/>
          <w:szCs w:val="32"/>
        </w:rPr>
        <w:t>%；公务接待费支出</w:t>
      </w:r>
      <w:r>
        <w:rPr>
          <w:rFonts w:ascii="Times New Roman" w:hAnsi="Times New Roman" w:cs="Times New Roman"/>
          <w:sz w:val="32"/>
          <w:szCs w:val="32"/>
          <w:u w:val="single"/>
        </w:rPr>
        <w:t>0.47</w:t>
      </w:r>
      <w:r>
        <w:rPr>
          <w:rFonts w:hint="eastAsia"/>
          <w:sz w:val="32"/>
          <w:szCs w:val="32"/>
        </w:rPr>
        <w:t>万元，占</w:t>
      </w:r>
      <w:r>
        <w:rPr>
          <w:rFonts w:ascii="Times New Roman" w:hAnsi="Times New Roman" w:cs="Times New Roman"/>
          <w:sz w:val="32"/>
          <w:szCs w:val="32"/>
          <w:u w:val="single"/>
        </w:rPr>
        <w:t>42.06</w:t>
      </w:r>
      <w:r>
        <w:rPr>
          <w:rFonts w:hint="eastAsia"/>
          <w:sz w:val="32"/>
          <w:szCs w:val="32"/>
        </w:rPr>
        <w:t>%。其中：</w:t>
      </w:r>
    </w:p>
    <w:p>
      <w:pPr>
        <w:spacing w:before="100" w:beforeAutospacing="1" w:after="100" w:afterAutospacing="1" w:line="560" w:lineRule="atLeast"/>
        <w:ind w:firstLine="640"/>
        <w:jc w:val="both"/>
      </w:pPr>
      <w:r>
        <w:rPr>
          <w:rFonts w:ascii="Times New Roman" w:hAnsi="Times New Roman" w:cs="Times New Roman"/>
          <w:sz w:val="32"/>
          <w:szCs w:val="32"/>
        </w:rPr>
        <w:t>1.</w:t>
      </w:r>
      <w:r>
        <w:rPr>
          <w:rFonts w:hint="eastAsia"/>
          <w:sz w:val="32"/>
          <w:szCs w:val="32"/>
        </w:rPr>
        <w:t>因公出国（境）费支出</w:t>
      </w:r>
      <w:r>
        <w:rPr>
          <w:rFonts w:ascii="Times New Roman" w:hAnsi="Times New Roman" w:cs="Times New Roman"/>
          <w:sz w:val="32"/>
          <w:szCs w:val="32"/>
          <w:u w:val="single"/>
        </w:rPr>
        <w:t>0.00</w:t>
      </w:r>
      <w:r>
        <w:rPr>
          <w:rFonts w:hint="eastAsia"/>
          <w:sz w:val="32"/>
          <w:szCs w:val="32"/>
        </w:rPr>
        <w:t>万元，全年出国（境）团组</w:t>
      </w:r>
      <w:r>
        <w:rPr>
          <w:rFonts w:ascii="Times New Roman" w:hAnsi="Times New Roman" w:cs="Times New Roman"/>
          <w:sz w:val="32"/>
          <w:szCs w:val="32"/>
          <w:u w:val="single"/>
        </w:rPr>
        <w:t>0</w:t>
      </w:r>
      <w:r>
        <w:rPr>
          <w:rFonts w:hint="eastAsia"/>
          <w:sz w:val="32"/>
          <w:szCs w:val="32"/>
        </w:rPr>
        <w:t>个，累计</w:t>
      </w:r>
      <w:r>
        <w:rPr>
          <w:rFonts w:ascii="Times New Roman" w:hAnsi="Times New Roman" w:cs="Times New Roman"/>
          <w:sz w:val="32"/>
          <w:szCs w:val="32"/>
          <w:u w:val="single"/>
        </w:rPr>
        <w:t>0</w:t>
      </w:r>
      <w:r>
        <w:rPr>
          <w:rFonts w:hint="eastAsia"/>
          <w:sz w:val="32"/>
          <w:szCs w:val="32"/>
        </w:rPr>
        <w:t>人次。与上年决算相比，增加</w:t>
      </w:r>
      <w:r>
        <w:rPr>
          <w:rFonts w:ascii="Times New Roman" w:hAnsi="Times New Roman" w:cs="Times New Roman"/>
          <w:sz w:val="32"/>
          <w:szCs w:val="32"/>
          <w:u w:val="single"/>
        </w:rPr>
        <w:t>0.00</w:t>
      </w:r>
      <w:r>
        <w:rPr>
          <w:rFonts w:hint="eastAsia"/>
          <w:sz w:val="32"/>
          <w:szCs w:val="32"/>
        </w:rPr>
        <w:t>万元，增长</w:t>
      </w:r>
      <w:r>
        <w:rPr>
          <w:rFonts w:ascii="Times New Roman" w:hAnsi="Times New Roman" w:cs="Times New Roman"/>
          <w:sz w:val="32"/>
          <w:szCs w:val="32"/>
          <w:u w:val="single"/>
        </w:rPr>
        <w:t>0.00</w:t>
      </w:r>
      <w:r>
        <w:rPr>
          <w:rFonts w:hint="eastAsia"/>
          <w:sz w:val="32"/>
          <w:szCs w:val="32"/>
        </w:rPr>
        <w:t>%。</w:t>
      </w:r>
    </w:p>
    <w:p>
      <w:pPr>
        <w:spacing w:before="100" w:beforeAutospacing="1" w:after="100" w:afterAutospacing="1" w:line="560" w:lineRule="atLeast"/>
        <w:ind w:firstLine="640"/>
        <w:jc w:val="both"/>
      </w:pPr>
      <w:r>
        <w:rPr>
          <w:rFonts w:ascii="Times New Roman" w:hAnsi="Times New Roman" w:cs="Times New Roman"/>
          <w:sz w:val="32"/>
          <w:szCs w:val="32"/>
        </w:rPr>
        <w:t>2.</w:t>
      </w:r>
      <w:r>
        <w:rPr>
          <w:rFonts w:hint="eastAsia"/>
          <w:sz w:val="32"/>
          <w:szCs w:val="32"/>
        </w:rPr>
        <w:t>公务用车购置及运行维护费支出</w:t>
      </w:r>
      <w:r>
        <w:rPr>
          <w:rFonts w:ascii="Times New Roman" w:hAnsi="Times New Roman" w:cs="Times New Roman"/>
          <w:sz w:val="32"/>
          <w:szCs w:val="32"/>
          <w:u w:val="single"/>
        </w:rPr>
        <w:t>0.65</w:t>
      </w:r>
      <w:r>
        <w:rPr>
          <w:rFonts w:hint="eastAsia"/>
          <w:sz w:val="32"/>
          <w:szCs w:val="32"/>
        </w:rPr>
        <w:t>万元。其中：</w:t>
      </w:r>
    </w:p>
    <w:p>
      <w:pPr>
        <w:spacing w:line="560" w:lineRule="exact"/>
        <w:ind w:firstLine="640"/>
        <w:jc w:val="both"/>
        <w:rPr>
          <w:rFonts w:ascii="Times New Roman"/>
          <w:kern w:val="2"/>
          <w:sz w:val="32"/>
          <w:szCs w:val="32"/>
        </w:rPr>
      </w:pPr>
      <w:r>
        <w:rPr>
          <w:rFonts w:hint="eastAsia"/>
          <w:sz w:val="32"/>
          <w:szCs w:val="32"/>
        </w:rPr>
        <w:t>（</w:t>
      </w:r>
      <w:r>
        <w:rPr>
          <w:rFonts w:ascii="Times New Roman" w:hAnsi="Times New Roman" w:cs="Times New Roman"/>
          <w:sz w:val="32"/>
          <w:szCs w:val="32"/>
        </w:rPr>
        <w:t>1</w:t>
      </w:r>
      <w:r>
        <w:rPr>
          <w:rFonts w:hint="eastAsia"/>
          <w:sz w:val="32"/>
          <w:szCs w:val="32"/>
        </w:rPr>
        <w:t>）公务用车购置支出</w:t>
      </w:r>
      <w:r>
        <w:rPr>
          <w:rFonts w:ascii="Times New Roman" w:hAnsi="Times New Roman" w:cs="Times New Roman"/>
          <w:sz w:val="32"/>
          <w:szCs w:val="32"/>
          <w:u w:val="single"/>
        </w:rPr>
        <w:t>0.00</w:t>
      </w:r>
      <w:r>
        <w:rPr>
          <w:rFonts w:hint="eastAsia"/>
          <w:sz w:val="32"/>
          <w:szCs w:val="32"/>
        </w:rPr>
        <w:t>万元。本年度使用财政拨款购置公务用车</w:t>
      </w:r>
      <w:r>
        <w:rPr>
          <w:rFonts w:ascii="Times New Roman" w:hAnsi="Times New Roman" w:cs="Times New Roman"/>
          <w:sz w:val="32"/>
          <w:szCs w:val="32"/>
          <w:u w:val="single"/>
        </w:rPr>
        <w:t>0</w:t>
      </w:r>
      <w:r>
        <w:rPr>
          <w:rFonts w:hint="eastAsia"/>
          <w:sz w:val="32"/>
          <w:szCs w:val="32"/>
        </w:rPr>
        <w:t>辆，与上年决算相比持平。</w:t>
      </w:r>
      <w:r>
        <w:rPr>
          <w:rFonts w:hint="eastAsia" w:cs="仿宋_GB2312"/>
          <w:kern w:val="2"/>
          <w:sz w:val="32"/>
          <w:szCs w:val="32"/>
        </w:rPr>
        <w:t>公务用车购置支出</w:t>
      </w:r>
      <w:r>
        <w:rPr>
          <w:rFonts w:ascii="Times New Roman" w:hAnsi="Times New Roman"/>
          <w:kern w:val="2"/>
          <w:sz w:val="32"/>
          <w:szCs w:val="32"/>
          <w:u w:val="single"/>
        </w:rPr>
        <w:t>0</w:t>
      </w:r>
      <w:r>
        <w:rPr>
          <w:rFonts w:hint="eastAsia" w:cs="仿宋_GB2312"/>
          <w:kern w:val="2"/>
          <w:sz w:val="32"/>
          <w:szCs w:val="32"/>
        </w:rPr>
        <w:t>万元。本年度使用财政拨款购置公务用车</w:t>
      </w:r>
      <w:r>
        <w:rPr>
          <w:rFonts w:ascii="Times New Roman" w:hAnsi="Times New Roman"/>
          <w:kern w:val="2"/>
          <w:sz w:val="32"/>
          <w:szCs w:val="32"/>
          <w:u w:val="single"/>
        </w:rPr>
        <w:t>0</w:t>
      </w:r>
      <w:r>
        <w:rPr>
          <w:rFonts w:hint="eastAsia" w:cs="仿宋_GB2312"/>
          <w:kern w:val="2"/>
          <w:sz w:val="32"/>
          <w:szCs w:val="32"/>
        </w:rPr>
        <w:t>辆，开支内容：无。与上年决算相比，增加</w:t>
      </w:r>
      <w:r>
        <w:rPr>
          <w:rFonts w:ascii="Times New Roman" w:hAnsi="Times New Roman"/>
          <w:kern w:val="2"/>
          <w:sz w:val="32"/>
          <w:szCs w:val="32"/>
          <w:u w:val="single"/>
        </w:rPr>
        <w:t>0</w:t>
      </w:r>
      <w:r>
        <w:rPr>
          <w:rFonts w:hint="eastAsia" w:cs="仿宋_GB2312"/>
          <w:kern w:val="2"/>
          <w:sz w:val="32"/>
          <w:szCs w:val="32"/>
        </w:rPr>
        <w:t>万元，增长</w:t>
      </w:r>
      <w:r>
        <w:rPr>
          <w:rFonts w:ascii="Times New Roman" w:hAnsi="Times New Roman"/>
          <w:kern w:val="2"/>
          <w:sz w:val="32"/>
          <w:szCs w:val="32"/>
          <w:u w:val="single"/>
        </w:rPr>
        <w:t>0</w:t>
      </w:r>
      <w:r>
        <w:rPr>
          <w:rFonts w:hint="eastAsia" w:cs="仿宋_GB2312"/>
          <w:kern w:val="2"/>
          <w:sz w:val="32"/>
          <w:szCs w:val="32"/>
        </w:rPr>
        <w:t>%，变动原因：本单位不涉及。</w:t>
      </w:r>
    </w:p>
    <w:p>
      <w:pPr>
        <w:spacing w:before="100" w:beforeAutospacing="1" w:after="100" w:afterAutospacing="1" w:line="560" w:lineRule="atLeast"/>
        <w:ind w:firstLine="640"/>
        <w:jc w:val="both"/>
      </w:pPr>
      <w:r>
        <w:rPr>
          <w:rFonts w:hint="eastAsia"/>
          <w:sz w:val="32"/>
          <w:szCs w:val="32"/>
        </w:rPr>
        <w:t>（</w:t>
      </w:r>
      <w:r>
        <w:rPr>
          <w:rFonts w:ascii="Times New Roman" w:hAnsi="Times New Roman" w:cs="Times New Roman"/>
          <w:sz w:val="32"/>
          <w:szCs w:val="32"/>
        </w:rPr>
        <w:t>2</w:t>
      </w:r>
      <w:r>
        <w:rPr>
          <w:rFonts w:hint="eastAsia"/>
          <w:sz w:val="32"/>
          <w:szCs w:val="32"/>
        </w:rPr>
        <w:t>）公务用车运行维护费支出</w:t>
      </w:r>
      <w:r>
        <w:rPr>
          <w:rFonts w:ascii="Times New Roman" w:hAnsi="Times New Roman" w:cs="Times New Roman"/>
          <w:sz w:val="32"/>
          <w:szCs w:val="32"/>
          <w:u w:val="single"/>
        </w:rPr>
        <w:t>0.65</w:t>
      </w:r>
      <w:r>
        <w:rPr>
          <w:rFonts w:hint="eastAsia"/>
          <w:sz w:val="32"/>
          <w:szCs w:val="32"/>
        </w:rPr>
        <w:t>万元。公务用车运行维护费主要用于按规定保留的公务用车的燃料费、维修费、过桥过路费、保险费、安全奖励费用等支出。截至</w:t>
      </w:r>
      <w:r>
        <w:rPr>
          <w:rFonts w:ascii="Times New Roman" w:hAnsi="Times New Roman" w:cs="Times New Roman"/>
          <w:sz w:val="32"/>
          <w:szCs w:val="32"/>
        </w:rPr>
        <w:t>2022</w:t>
      </w:r>
      <w:r>
        <w:rPr>
          <w:rFonts w:hint="eastAsia"/>
          <w:sz w:val="32"/>
          <w:szCs w:val="32"/>
        </w:rPr>
        <w:t>年</w:t>
      </w:r>
      <w:r>
        <w:rPr>
          <w:rFonts w:ascii="Times New Roman" w:hAnsi="Times New Roman" w:cs="Times New Roman"/>
          <w:sz w:val="32"/>
          <w:szCs w:val="32"/>
        </w:rPr>
        <w:t>12</w:t>
      </w:r>
      <w:r>
        <w:rPr>
          <w:rFonts w:hint="eastAsia"/>
          <w:sz w:val="32"/>
          <w:szCs w:val="32"/>
        </w:rPr>
        <w:t>月</w:t>
      </w:r>
      <w:r>
        <w:rPr>
          <w:rFonts w:ascii="Times New Roman" w:hAnsi="Times New Roman" w:cs="Times New Roman"/>
          <w:sz w:val="32"/>
          <w:szCs w:val="32"/>
        </w:rPr>
        <w:t>31</w:t>
      </w:r>
      <w:r>
        <w:rPr>
          <w:rFonts w:hint="eastAsia"/>
          <w:sz w:val="32"/>
          <w:szCs w:val="32"/>
        </w:rPr>
        <w:t>日，使用财政拨款开支的公务用车保有量为</w:t>
      </w:r>
      <w:r>
        <w:rPr>
          <w:rFonts w:ascii="Times New Roman" w:hAnsi="Times New Roman" w:cs="Times New Roman"/>
          <w:sz w:val="32"/>
          <w:szCs w:val="32"/>
          <w:u w:val="single"/>
        </w:rPr>
        <w:t>1</w:t>
      </w:r>
      <w:r>
        <w:rPr>
          <w:rFonts w:hint="eastAsia"/>
          <w:sz w:val="32"/>
          <w:szCs w:val="32"/>
        </w:rPr>
        <w:t>辆。与上年决算相比，增加</w:t>
      </w:r>
      <w:r>
        <w:rPr>
          <w:rFonts w:ascii="Times New Roman" w:hAnsi="Times New Roman" w:cs="Times New Roman"/>
          <w:sz w:val="32"/>
          <w:szCs w:val="32"/>
          <w:u w:val="single"/>
        </w:rPr>
        <w:t>0.11</w:t>
      </w:r>
      <w:r>
        <w:rPr>
          <w:rFonts w:hint="eastAsia"/>
          <w:sz w:val="32"/>
          <w:szCs w:val="32"/>
        </w:rPr>
        <w:t>万元，增长</w:t>
      </w:r>
      <w:r>
        <w:rPr>
          <w:rFonts w:ascii="Times New Roman" w:hAnsi="Times New Roman" w:cs="Times New Roman"/>
          <w:sz w:val="30"/>
          <w:szCs w:val="30"/>
          <w:u w:val="single"/>
        </w:rPr>
        <w:t>20.64</w:t>
      </w:r>
      <w:r>
        <w:rPr>
          <w:rFonts w:hint="eastAsia"/>
          <w:sz w:val="32"/>
          <w:szCs w:val="32"/>
        </w:rPr>
        <w:t>%，变动原因：公务用车维护费费用增加，由于燃油价格上涨。</w:t>
      </w:r>
    </w:p>
    <w:p>
      <w:pPr>
        <w:spacing w:before="100" w:beforeAutospacing="1" w:after="100" w:afterAutospacing="1" w:line="560" w:lineRule="atLeast"/>
        <w:ind w:firstLine="640"/>
        <w:jc w:val="both"/>
        <w:rPr>
          <w:sz w:val="32"/>
          <w:szCs w:val="32"/>
        </w:rPr>
      </w:pPr>
      <w:r>
        <w:rPr>
          <w:rFonts w:ascii="Times New Roman" w:hAnsi="Times New Roman" w:cs="Times New Roman"/>
          <w:sz w:val="32"/>
          <w:szCs w:val="32"/>
        </w:rPr>
        <w:t>3.</w:t>
      </w:r>
      <w:r>
        <w:rPr>
          <w:rFonts w:hint="eastAsia"/>
          <w:sz w:val="32"/>
          <w:szCs w:val="32"/>
        </w:rPr>
        <w:t>公务接待费支出</w:t>
      </w:r>
      <w:r>
        <w:rPr>
          <w:rFonts w:ascii="Times New Roman" w:hAnsi="Times New Roman" w:cs="Times New Roman"/>
          <w:sz w:val="32"/>
          <w:szCs w:val="32"/>
          <w:u w:val="single"/>
        </w:rPr>
        <w:t>0.47</w:t>
      </w:r>
      <w:r>
        <w:rPr>
          <w:rFonts w:hint="eastAsia"/>
          <w:sz w:val="32"/>
          <w:szCs w:val="32"/>
        </w:rPr>
        <w:t>万元。其中：国内公务接待支出</w:t>
      </w:r>
      <w:r>
        <w:rPr>
          <w:rFonts w:ascii="Times New Roman" w:hAnsi="Times New Roman" w:cs="Times New Roman"/>
          <w:sz w:val="32"/>
          <w:szCs w:val="32"/>
          <w:u w:val="single"/>
        </w:rPr>
        <w:t>0.47</w:t>
      </w:r>
      <w:r>
        <w:rPr>
          <w:rFonts w:hint="eastAsia"/>
          <w:sz w:val="32"/>
          <w:szCs w:val="32"/>
        </w:rPr>
        <w:t>万元，接待</w:t>
      </w:r>
      <w:r>
        <w:rPr>
          <w:rFonts w:ascii="Times New Roman" w:hAnsi="Times New Roman" w:cs="Times New Roman"/>
          <w:sz w:val="32"/>
          <w:szCs w:val="32"/>
          <w:u w:val="single"/>
        </w:rPr>
        <w:t>5</w:t>
      </w:r>
      <w:r>
        <w:rPr>
          <w:rFonts w:hint="eastAsia"/>
          <w:sz w:val="32"/>
          <w:szCs w:val="32"/>
        </w:rPr>
        <w:t>批次，</w:t>
      </w:r>
      <w:r>
        <w:rPr>
          <w:rFonts w:ascii="Times New Roman" w:hAnsi="Times New Roman" w:cs="Times New Roman"/>
          <w:sz w:val="32"/>
          <w:szCs w:val="32"/>
          <w:u w:val="single"/>
        </w:rPr>
        <w:t>50</w:t>
      </w:r>
      <w:r>
        <w:rPr>
          <w:rFonts w:hint="eastAsia"/>
          <w:sz w:val="32"/>
          <w:szCs w:val="32"/>
        </w:rPr>
        <w:t>人次，开支内容：主要用于一是接待区外及区内各盟市来我委开展国资监管调研工作产生的接待费用；二是日常加班人员的就餐费；国（境）外公务接待支出</w:t>
      </w:r>
      <w:r>
        <w:rPr>
          <w:rFonts w:ascii="Times New Roman" w:hAnsi="Times New Roman" w:cs="Times New Roman"/>
          <w:sz w:val="32"/>
          <w:szCs w:val="32"/>
          <w:u w:val="single"/>
        </w:rPr>
        <w:t>0.00</w:t>
      </w:r>
      <w:r>
        <w:rPr>
          <w:rFonts w:hint="eastAsia"/>
          <w:sz w:val="32"/>
          <w:szCs w:val="32"/>
        </w:rPr>
        <w:t>万元，接待</w:t>
      </w:r>
      <w:r>
        <w:rPr>
          <w:rFonts w:ascii="Times New Roman" w:hAnsi="Times New Roman" w:cs="Times New Roman"/>
          <w:sz w:val="32"/>
          <w:szCs w:val="32"/>
          <w:u w:val="single"/>
        </w:rPr>
        <w:t>0</w:t>
      </w:r>
      <w:r>
        <w:rPr>
          <w:rFonts w:hint="eastAsia"/>
          <w:sz w:val="32"/>
          <w:szCs w:val="32"/>
        </w:rPr>
        <w:t>批次，</w:t>
      </w:r>
      <w:r>
        <w:rPr>
          <w:rFonts w:ascii="Times New Roman" w:hAnsi="Times New Roman" w:cs="Times New Roman"/>
          <w:sz w:val="32"/>
          <w:szCs w:val="32"/>
          <w:u w:val="single"/>
        </w:rPr>
        <w:t>0</w:t>
      </w:r>
      <w:r>
        <w:rPr>
          <w:rFonts w:hint="eastAsia"/>
          <w:sz w:val="32"/>
          <w:szCs w:val="32"/>
        </w:rPr>
        <w:t>人次，开支内容：无。与上年决算相比，增加</w:t>
      </w:r>
      <w:r>
        <w:rPr>
          <w:rFonts w:ascii="Times New Roman" w:hAnsi="Times New Roman" w:cs="Times New Roman"/>
          <w:sz w:val="32"/>
          <w:szCs w:val="32"/>
          <w:u w:val="single"/>
        </w:rPr>
        <w:t>0.14</w:t>
      </w:r>
      <w:r>
        <w:rPr>
          <w:rFonts w:hint="eastAsia"/>
          <w:sz w:val="32"/>
          <w:szCs w:val="32"/>
        </w:rPr>
        <w:t>万元，增长</w:t>
      </w:r>
      <w:r>
        <w:rPr>
          <w:rFonts w:ascii="Times New Roman" w:hAnsi="Times New Roman" w:cs="Times New Roman"/>
          <w:sz w:val="32"/>
          <w:szCs w:val="32"/>
          <w:u w:val="single"/>
        </w:rPr>
        <w:t>43.15</w:t>
      </w:r>
      <w:r>
        <w:rPr>
          <w:rFonts w:hint="eastAsia"/>
          <w:sz w:val="32"/>
          <w:szCs w:val="32"/>
        </w:rPr>
        <w:t>%，变动原因：加班餐增加。</w:t>
      </w:r>
    </w:p>
    <w:p>
      <w:pPr>
        <w:keepNext/>
        <w:spacing w:before="100" w:beforeAutospacing="1" w:after="100" w:afterAutospacing="1" w:line="560" w:lineRule="atLeast"/>
        <w:ind w:firstLine="643"/>
        <w:jc w:val="both"/>
      </w:pPr>
      <w:r>
        <w:rPr>
          <w:rFonts w:hint="eastAsia" w:ascii="楷体" w:hAnsi="楷体" w:eastAsia="楷体" w:cs="楷体"/>
          <w:b/>
          <w:bCs/>
          <w:sz w:val="32"/>
          <w:szCs w:val="32"/>
        </w:rPr>
        <w:t>（一）财政拨款</w:t>
      </w:r>
      <w:r>
        <w:rPr>
          <w:rFonts w:ascii="Times New Roman" w:hAnsi="Times New Roman" w:cs="Times New Roman"/>
          <w:b/>
          <w:bCs/>
          <w:sz w:val="32"/>
          <w:szCs w:val="32"/>
        </w:rPr>
        <w:t>“</w:t>
      </w:r>
      <w:r>
        <w:rPr>
          <w:rFonts w:hint="eastAsia" w:ascii="楷体" w:hAnsi="楷体" w:eastAsia="楷体" w:cs="楷体"/>
          <w:b/>
          <w:bCs/>
          <w:sz w:val="32"/>
          <w:szCs w:val="32"/>
        </w:rPr>
        <w:t>三公</w:t>
      </w:r>
      <w:r>
        <w:rPr>
          <w:rFonts w:ascii="Times New Roman" w:hAnsi="Times New Roman" w:cs="Times New Roman"/>
          <w:b/>
          <w:bCs/>
          <w:sz w:val="32"/>
          <w:szCs w:val="32"/>
        </w:rPr>
        <w:t>”</w:t>
      </w:r>
      <w:r>
        <w:rPr>
          <w:rFonts w:hint="eastAsia" w:ascii="楷体" w:hAnsi="楷体" w:eastAsia="楷体" w:cs="楷体"/>
          <w:b/>
          <w:bCs/>
          <w:sz w:val="32"/>
          <w:szCs w:val="32"/>
        </w:rPr>
        <w:t>经费支出总体情况说明。</w:t>
      </w:r>
    </w:p>
    <w:p>
      <w:pPr>
        <w:spacing w:before="100" w:beforeAutospacing="1" w:after="100" w:afterAutospacing="1" w:line="560" w:lineRule="atLeast"/>
        <w:ind w:firstLine="640"/>
        <w:jc w:val="both"/>
        <w:rPr>
          <w:rFonts w:ascii="楷体" w:hAnsi="楷体" w:eastAsia="楷体" w:cs="楷体"/>
          <w:b/>
          <w:bCs/>
          <w:sz w:val="32"/>
          <w:szCs w:val="32"/>
        </w:rPr>
      </w:pPr>
      <w:r>
        <w:rPr>
          <w:rFonts w:hint="eastAsia"/>
          <w:sz w:val="32"/>
          <w:szCs w:val="32"/>
        </w:rPr>
        <w:t>包头市国资国企改革发展促进中心单位</w:t>
      </w:r>
      <w:r>
        <w:rPr>
          <w:rFonts w:ascii="Times New Roman" w:hAnsi="Times New Roman" w:cs="Times New Roman"/>
          <w:sz w:val="32"/>
          <w:szCs w:val="32"/>
        </w:rPr>
        <w:t xml:space="preserve"> </w:t>
      </w:r>
      <w:r>
        <w:rPr>
          <w:rFonts w:hint="eastAsia"/>
          <w:sz w:val="32"/>
          <w:szCs w:val="32"/>
        </w:rPr>
        <w:t>2022年度财政拨款</w:t>
      </w:r>
      <w:r>
        <w:rPr>
          <w:rFonts w:ascii="Times New Roman" w:hAnsi="Times New Roman" w:cs="Times New Roman"/>
          <w:sz w:val="32"/>
          <w:szCs w:val="32"/>
        </w:rPr>
        <w:t>“</w:t>
      </w:r>
      <w:r>
        <w:rPr>
          <w:rFonts w:hint="eastAsia"/>
          <w:sz w:val="32"/>
          <w:szCs w:val="32"/>
        </w:rPr>
        <w:t>三公</w:t>
      </w:r>
      <w:r>
        <w:rPr>
          <w:rFonts w:ascii="Times New Roman" w:hAnsi="Times New Roman" w:cs="Times New Roman"/>
          <w:sz w:val="32"/>
          <w:szCs w:val="32"/>
        </w:rPr>
        <w:t>”</w:t>
      </w:r>
      <w:r>
        <w:rPr>
          <w:rFonts w:hint="eastAsia"/>
          <w:sz w:val="32"/>
          <w:szCs w:val="32"/>
        </w:rPr>
        <w:t>经费预算</w:t>
      </w:r>
      <w:r>
        <w:rPr>
          <w:rFonts w:ascii="Times New Roman" w:hAnsi="Times New Roman" w:cs="Times New Roman"/>
          <w:sz w:val="32"/>
          <w:szCs w:val="32"/>
        </w:rPr>
        <w:t>0.00</w:t>
      </w:r>
      <w:r>
        <w:rPr>
          <w:rFonts w:hint="eastAsia"/>
          <w:sz w:val="32"/>
          <w:szCs w:val="32"/>
        </w:rPr>
        <w:t>万元，支出决算</w:t>
      </w:r>
      <w:r>
        <w:rPr>
          <w:rFonts w:ascii="Times New Roman" w:hAnsi="Times New Roman" w:cs="Times New Roman"/>
          <w:sz w:val="32"/>
          <w:szCs w:val="32"/>
        </w:rPr>
        <w:t>0.00</w:t>
      </w:r>
      <w:r>
        <w:rPr>
          <w:rFonts w:hint="eastAsia"/>
          <w:sz w:val="32"/>
          <w:szCs w:val="32"/>
        </w:rPr>
        <w:t>万元，完成预算的</w:t>
      </w:r>
      <w:r>
        <w:rPr>
          <w:rFonts w:ascii="Times New Roman" w:hAnsi="Times New Roman" w:cs="Times New Roman"/>
          <w:sz w:val="32"/>
          <w:szCs w:val="32"/>
        </w:rPr>
        <w:t>0.00</w:t>
      </w:r>
      <w:r>
        <w:rPr>
          <w:rFonts w:hint="eastAsia"/>
          <w:sz w:val="32"/>
          <w:szCs w:val="32"/>
        </w:rPr>
        <w:t>%。其中：因公出国（境）费预算</w:t>
      </w:r>
      <w:r>
        <w:rPr>
          <w:rFonts w:ascii="Times New Roman" w:hAnsi="Times New Roman" w:cs="Times New Roman"/>
          <w:sz w:val="32"/>
          <w:szCs w:val="32"/>
        </w:rPr>
        <w:t>0.00</w:t>
      </w:r>
      <w:r>
        <w:rPr>
          <w:rFonts w:hint="eastAsia"/>
          <w:sz w:val="32"/>
          <w:szCs w:val="32"/>
        </w:rPr>
        <w:t>万元，支出决算</w:t>
      </w:r>
      <w:r>
        <w:rPr>
          <w:rFonts w:ascii="Times New Roman" w:hAnsi="Times New Roman" w:cs="Times New Roman"/>
          <w:sz w:val="32"/>
          <w:szCs w:val="32"/>
        </w:rPr>
        <w:t>0.00</w:t>
      </w:r>
      <w:r>
        <w:rPr>
          <w:rFonts w:hint="eastAsia"/>
          <w:sz w:val="32"/>
          <w:szCs w:val="32"/>
        </w:rPr>
        <w:t>万元，完成预算的</w:t>
      </w:r>
      <w:r>
        <w:rPr>
          <w:rFonts w:ascii="Times New Roman" w:hAnsi="Times New Roman" w:cs="Times New Roman"/>
          <w:sz w:val="32"/>
          <w:szCs w:val="32"/>
        </w:rPr>
        <w:t>0.00</w:t>
      </w:r>
      <w:r>
        <w:rPr>
          <w:rFonts w:hint="eastAsia"/>
          <w:sz w:val="32"/>
          <w:szCs w:val="32"/>
        </w:rPr>
        <w:t>%；公务用车购置及运行维护费预算</w:t>
      </w:r>
      <w:r>
        <w:rPr>
          <w:rFonts w:ascii="Times New Roman" w:hAnsi="Times New Roman" w:cs="Times New Roman"/>
          <w:sz w:val="32"/>
          <w:szCs w:val="32"/>
        </w:rPr>
        <w:t>0.00</w:t>
      </w:r>
      <w:r>
        <w:rPr>
          <w:rFonts w:hint="eastAsia"/>
          <w:sz w:val="32"/>
          <w:szCs w:val="32"/>
        </w:rPr>
        <w:t>万元，支出决算</w:t>
      </w:r>
      <w:r>
        <w:rPr>
          <w:rFonts w:ascii="Times New Roman" w:hAnsi="Times New Roman" w:cs="Times New Roman"/>
          <w:sz w:val="32"/>
          <w:szCs w:val="32"/>
        </w:rPr>
        <w:t>0.00</w:t>
      </w:r>
      <w:r>
        <w:rPr>
          <w:rFonts w:hint="eastAsia"/>
          <w:sz w:val="32"/>
          <w:szCs w:val="32"/>
        </w:rPr>
        <w:t>万元，完成预算的</w:t>
      </w:r>
      <w:r>
        <w:rPr>
          <w:rFonts w:ascii="Times New Roman" w:hAnsi="Times New Roman" w:cs="Times New Roman"/>
          <w:sz w:val="32"/>
          <w:szCs w:val="32"/>
        </w:rPr>
        <w:t>0.00</w:t>
      </w:r>
      <w:r>
        <w:rPr>
          <w:rFonts w:hint="eastAsia"/>
          <w:sz w:val="32"/>
          <w:szCs w:val="32"/>
        </w:rPr>
        <w:t>%；公务接待费预算</w:t>
      </w:r>
      <w:r>
        <w:rPr>
          <w:rFonts w:ascii="Times New Roman" w:hAnsi="Times New Roman" w:cs="Times New Roman"/>
          <w:sz w:val="32"/>
          <w:szCs w:val="32"/>
        </w:rPr>
        <w:t>0.00</w:t>
      </w:r>
      <w:r>
        <w:rPr>
          <w:rFonts w:hint="eastAsia"/>
          <w:sz w:val="32"/>
          <w:szCs w:val="32"/>
        </w:rPr>
        <w:t>万元，支出决算</w:t>
      </w:r>
      <w:r>
        <w:rPr>
          <w:rFonts w:ascii="Times New Roman" w:hAnsi="Times New Roman" w:cs="Times New Roman"/>
          <w:sz w:val="32"/>
          <w:szCs w:val="32"/>
        </w:rPr>
        <w:t>0.00</w:t>
      </w:r>
      <w:r>
        <w:rPr>
          <w:rFonts w:hint="eastAsia"/>
          <w:sz w:val="32"/>
          <w:szCs w:val="32"/>
        </w:rPr>
        <w:t>万元，完成预算的</w:t>
      </w:r>
      <w:r>
        <w:rPr>
          <w:rFonts w:ascii="Times New Roman" w:hAnsi="Times New Roman" w:cs="Times New Roman"/>
          <w:sz w:val="32"/>
          <w:szCs w:val="32"/>
        </w:rPr>
        <w:t>0.00</w:t>
      </w:r>
      <w:r>
        <w:rPr>
          <w:rFonts w:hint="eastAsia"/>
          <w:sz w:val="32"/>
          <w:szCs w:val="32"/>
        </w:rPr>
        <w:t>%。2022年度财政拨款</w:t>
      </w:r>
      <w:r>
        <w:rPr>
          <w:rFonts w:ascii="Times New Roman" w:hAnsi="Times New Roman" w:cs="Times New Roman"/>
          <w:sz w:val="32"/>
          <w:szCs w:val="32"/>
        </w:rPr>
        <w:t>“</w:t>
      </w:r>
      <w:r>
        <w:rPr>
          <w:rFonts w:hint="eastAsia"/>
          <w:sz w:val="32"/>
          <w:szCs w:val="32"/>
        </w:rPr>
        <w:t>三公</w:t>
      </w:r>
      <w:r>
        <w:rPr>
          <w:rFonts w:ascii="Times New Roman" w:hAnsi="Times New Roman" w:cs="Times New Roman"/>
          <w:sz w:val="32"/>
          <w:szCs w:val="32"/>
        </w:rPr>
        <w:t>”</w:t>
      </w:r>
      <w:r>
        <w:rPr>
          <w:rFonts w:hint="eastAsia"/>
          <w:sz w:val="32"/>
          <w:szCs w:val="32"/>
        </w:rPr>
        <w:t>经费支出决算与预算差异原因：全年无相关业务支出。</w:t>
      </w:r>
      <w:r>
        <w:rPr>
          <w:rFonts w:hint="eastAsia" w:ascii="楷体" w:hAnsi="楷体" w:eastAsia="楷体" w:cs="楷体"/>
          <w:b/>
          <w:bCs/>
          <w:sz w:val="32"/>
          <w:szCs w:val="32"/>
        </w:rPr>
        <w:t>（二）财政拨款</w:t>
      </w:r>
      <w:r>
        <w:rPr>
          <w:rFonts w:ascii="Times New Roman" w:hAnsi="Times New Roman" w:cs="Times New Roman"/>
          <w:b/>
          <w:bCs/>
          <w:sz w:val="32"/>
          <w:szCs w:val="32"/>
        </w:rPr>
        <w:t>“</w:t>
      </w:r>
      <w:r>
        <w:rPr>
          <w:rFonts w:hint="eastAsia" w:ascii="楷体" w:hAnsi="楷体" w:eastAsia="楷体" w:cs="楷体"/>
          <w:b/>
          <w:bCs/>
          <w:sz w:val="32"/>
          <w:szCs w:val="32"/>
        </w:rPr>
        <w:t>三公</w:t>
      </w:r>
      <w:r>
        <w:rPr>
          <w:rFonts w:ascii="Times New Roman" w:hAnsi="Times New Roman" w:cs="Times New Roman"/>
          <w:b/>
          <w:bCs/>
          <w:sz w:val="32"/>
          <w:szCs w:val="32"/>
        </w:rPr>
        <w:t>”</w:t>
      </w:r>
      <w:r>
        <w:rPr>
          <w:rFonts w:hint="eastAsia" w:ascii="楷体" w:hAnsi="楷体" w:eastAsia="楷体" w:cs="楷体"/>
          <w:b/>
          <w:bCs/>
          <w:sz w:val="32"/>
          <w:szCs w:val="32"/>
        </w:rPr>
        <w:t>经费支出具体情况说明。</w:t>
      </w:r>
    </w:p>
    <w:p>
      <w:pPr>
        <w:spacing w:before="100" w:beforeAutospacing="1" w:after="100" w:afterAutospacing="1" w:line="560" w:lineRule="atLeast"/>
        <w:ind w:firstLine="640"/>
        <w:jc w:val="both"/>
      </w:pPr>
      <w:r>
        <w:rPr>
          <w:rFonts w:hint="eastAsia"/>
          <w:sz w:val="32"/>
          <w:szCs w:val="32"/>
        </w:rPr>
        <w:t>包头市国资国企改革发展促进中心单位2022年度财政拨款</w:t>
      </w:r>
      <w:r>
        <w:rPr>
          <w:rFonts w:ascii="Times New Roman" w:hAnsi="Times New Roman" w:cs="Times New Roman"/>
          <w:sz w:val="32"/>
          <w:szCs w:val="32"/>
        </w:rPr>
        <w:t>“</w:t>
      </w:r>
      <w:r>
        <w:rPr>
          <w:rFonts w:hint="eastAsia"/>
          <w:sz w:val="32"/>
          <w:szCs w:val="32"/>
        </w:rPr>
        <w:t>三公</w:t>
      </w:r>
      <w:r>
        <w:rPr>
          <w:rFonts w:ascii="Times New Roman" w:hAnsi="Times New Roman" w:cs="Times New Roman"/>
          <w:sz w:val="32"/>
          <w:szCs w:val="32"/>
        </w:rPr>
        <w:t>”</w:t>
      </w:r>
      <w:r>
        <w:rPr>
          <w:rFonts w:hint="eastAsia"/>
          <w:sz w:val="32"/>
          <w:szCs w:val="32"/>
        </w:rPr>
        <w:t>经费支出</w:t>
      </w:r>
      <w:r>
        <w:rPr>
          <w:rFonts w:ascii="Times New Roman" w:hAnsi="Times New Roman" w:cs="Times New Roman"/>
          <w:sz w:val="32"/>
          <w:szCs w:val="32"/>
        </w:rPr>
        <w:t>0.00</w:t>
      </w:r>
      <w:r>
        <w:rPr>
          <w:rFonts w:hint="eastAsia"/>
          <w:sz w:val="32"/>
          <w:szCs w:val="32"/>
        </w:rPr>
        <w:t>万元。因公出国（境）费支出</w:t>
      </w:r>
      <w:r>
        <w:rPr>
          <w:rFonts w:ascii="Times New Roman" w:hAnsi="Times New Roman" w:cs="Times New Roman"/>
          <w:sz w:val="32"/>
          <w:szCs w:val="32"/>
        </w:rPr>
        <w:t>0.00</w:t>
      </w:r>
      <w:r>
        <w:rPr>
          <w:rFonts w:hint="eastAsia"/>
          <w:sz w:val="32"/>
          <w:szCs w:val="32"/>
        </w:rPr>
        <w:t>万元，占</w:t>
      </w:r>
      <w:r>
        <w:rPr>
          <w:rFonts w:ascii="Times New Roman" w:hAnsi="Times New Roman" w:cs="Times New Roman"/>
          <w:sz w:val="32"/>
          <w:szCs w:val="32"/>
        </w:rPr>
        <w:t>0.00</w:t>
      </w:r>
      <w:r>
        <w:rPr>
          <w:rFonts w:hint="eastAsia"/>
          <w:sz w:val="32"/>
          <w:szCs w:val="32"/>
        </w:rPr>
        <w:t>%；公务用车购置及运行维护费支出</w:t>
      </w:r>
      <w:r>
        <w:rPr>
          <w:rFonts w:ascii="Times New Roman" w:hAnsi="Times New Roman" w:cs="Times New Roman"/>
          <w:sz w:val="32"/>
          <w:szCs w:val="32"/>
        </w:rPr>
        <w:t>0.00</w:t>
      </w:r>
      <w:r>
        <w:rPr>
          <w:rFonts w:hint="eastAsia"/>
          <w:sz w:val="32"/>
          <w:szCs w:val="32"/>
        </w:rPr>
        <w:t>万元，占</w:t>
      </w:r>
      <w:r>
        <w:rPr>
          <w:rFonts w:ascii="Times New Roman" w:hAnsi="Times New Roman" w:cs="Times New Roman"/>
          <w:sz w:val="32"/>
          <w:szCs w:val="32"/>
        </w:rPr>
        <w:t>0.00</w:t>
      </w:r>
      <w:r>
        <w:rPr>
          <w:rFonts w:hint="eastAsia"/>
          <w:sz w:val="32"/>
          <w:szCs w:val="32"/>
        </w:rPr>
        <w:t>%；公务接待费支出</w:t>
      </w:r>
      <w:r>
        <w:rPr>
          <w:rFonts w:ascii="Times New Roman" w:hAnsi="Times New Roman" w:cs="Times New Roman"/>
          <w:sz w:val="32"/>
          <w:szCs w:val="32"/>
        </w:rPr>
        <w:t>0.00</w:t>
      </w:r>
      <w:r>
        <w:rPr>
          <w:rFonts w:hint="eastAsia"/>
          <w:sz w:val="32"/>
          <w:szCs w:val="32"/>
        </w:rPr>
        <w:t>万元，占</w:t>
      </w:r>
      <w:r>
        <w:rPr>
          <w:rFonts w:ascii="Times New Roman" w:hAnsi="Times New Roman" w:cs="Times New Roman"/>
          <w:sz w:val="32"/>
          <w:szCs w:val="32"/>
        </w:rPr>
        <w:t>0.00</w:t>
      </w:r>
      <w:r>
        <w:rPr>
          <w:rFonts w:hint="eastAsia"/>
          <w:sz w:val="32"/>
          <w:szCs w:val="32"/>
        </w:rPr>
        <w:t>%。其中：</w:t>
      </w:r>
    </w:p>
    <w:p>
      <w:pPr>
        <w:spacing w:before="100" w:beforeAutospacing="1" w:after="100" w:afterAutospacing="1" w:line="560" w:lineRule="atLeast"/>
        <w:ind w:firstLine="640"/>
        <w:jc w:val="both"/>
      </w:pPr>
      <w:r>
        <w:rPr>
          <w:rFonts w:ascii="Times New Roman" w:hAnsi="Times New Roman" w:cs="Times New Roman"/>
          <w:sz w:val="32"/>
          <w:szCs w:val="32"/>
        </w:rPr>
        <w:t>1.</w:t>
      </w:r>
      <w:r>
        <w:rPr>
          <w:rFonts w:hint="eastAsia"/>
          <w:sz w:val="32"/>
          <w:szCs w:val="32"/>
        </w:rPr>
        <w:t>因公出国（境）费支出</w:t>
      </w:r>
      <w:r>
        <w:rPr>
          <w:rFonts w:ascii="Times New Roman" w:hAnsi="Times New Roman" w:cs="Times New Roman"/>
          <w:sz w:val="32"/>
          <w:szCs w:val="32"/>
        </w:rPr>
        <w:t>0.00</w:t>
      </w:r>
      <w:r>
        <w:rPr>
          <w:rFonts w:hint="eastAsia"/>
          <w:sz w:val="32"/>
          <w:szCs w:val="32"/>
        </w:rPr>
        <w:t>万元，全年出国（境）团组</w:t>
      </w:r>
      <w:r>
        <w:rPr>
          <w:rFonts w:ascii="Times New Roman" w:hAnsi="Times New Roman" w:cs="Times New Roman"/>
          <w:sz w:val="32"/>
          <w:szCs w:val="32"/>
        </w:rPr>
        <w:t>0</w:t>
      </w:r>
      <w:r>
        <w:rPr>
          <w:rFonts w:hint="eastAsia"/>
          <w:sz w:val="32"/>
          <w:szCs w:val="32"/>
        </w:rPr>
        <w:t>个，累计</w:t>
      </w:r>
      <w:r>
        <w:rPr>
          <w:rFonts w:ascii="Times New Roman" w:hAnsi="Times New Roman" w:cs="Times New Roman"/>
          <w:sz w:val="32"/>
          <w:szCs w:val="32"/>
        </w:rPr>
        <w:t>0</w:t>
      </w:r>
      <w:r>
        <w:rPr>
          <w:rFonts w:hint="eastAsia"/>
          <w:sz w:val="32"/>
          <w:szCs w:val="32"/>
        </w:rPr>
        <w:t>人次。与上年决算相比，增加</w:t>
      </w:r>
      <w:r>
        <w:rPr>
          <w:rFonts w:ascii="Times New Roman" w:hAnsi="Times New Roman" w:cs="Times New Roman"/>
          <w:sz w:val="32"/>
          <w:szCs w:val="32"/>
        </w:rPr>
        <w:t>0.00</w:t>
      </w:r>
      <w:r>
        <w:rPr>
          <w:rFonts w:hint="eastAsia"/>
          <w:sz w:val="32"/>
          <w:szCs w:val="32"/>
        </w:rPr>
        <w:t>万元，增长</w:t>
      </w:r>
      <w:r>
        <w:rPr>
          <w:rFonts w:ascii="Times New Roman" w:hAnsi="Times New Roman" w:cs="Times New Roman"/>
          <w:sz w:val="32"/>
          <w:szCs w:val="32"/>
        </w:rPr>
        <w:t>0.00</w:t>
      </w:r>
      <w:r>
        <w:rPr>
          <w:rFonts w:hint="eastAsia"/>
          <w:sz w:val="32"/>
          <w:szCs w:val="32"/>
        </w:rPr>
        <w:t>%，变动原因：不涉及相关业务。</w:t>
      </w:r>
    </w:p>
    <w:p>
      <w:pPr>
        <w:spacing w:before="100" w:beforeAutospacing="1" w:after="100" w:afterAutospacing="1" w:line="560" w:lineRule="atLeast"/>
        <w:ind w:firstLine="640"/>
        <w:jc w:val="both"/>
      </w:pPr>
      <w:r>
        <w:rPr>
          <w:rFonts w:ascii="Times New Roman" w:hAnsi="Times New Roman" w:cs="Times New Roman"/>
          <w:sz w:val="32"/>
          <w:szCs w:val="32"/>
        </w:rPr>
        <w:t>2.</w:t>
      </w:r>
      <w:r>
        <w:rPr>
          <w:rFonts w:hint="eastAsia"/>
          <w:sz w:val="32"/>
          <w:szCs w:val="32"/>
        </w:rPr>
        <w:t>公务用车购置及运行维护费支出</w:t>
      </w:r>
      <w:r>
        <w:rPr>
          <w:rFonts w:ascii="Times New Roman" w:hAnsi="Times New Roman" w:cs="Times New Roman"/>
          <w:sz w:val="32"/>
          <w:szCs w:val="32"/>
        </w:rPr>
        <w:t>0.00</w:t>
      </w:r>
      <w:r>
        <w:rPr>
          <w:rFonts w:hint="eastAsia"/>
          <w:sz w:val="32"/>
          <w:szCs w:val="32"/>
        </w:rPr>
        <w:t>万元。其中：</w:t>
      </w:r>
    </w:p>
    <w:p>
      <w:pPr>
        <w:spacing w:before="100" w:beforeAutospacing="1" w:after="100" w:afterAutospacing="1" w:line="560" w:lineRule="atLeast"/>
        <w:ind w:firstLine="640"/>
        <w:jc w:val="both"/>
      </w:pPr>
      <w:r>
        <w:rPr>
          <w:rFonts w:hint="eastAsia"/>
          <w:sz w:val="32"/>
          <w:szCs w:val="32"/>
        </w:rPr>
        <w:t>（</w:t>
      </w:r>
      <w:r>
        <w:rPr>
          <w:rFonts w:ascii="Times New Roman" w:hAnsi="Times New Roman" w:cs="Times New Roman"/>
          <w:sz w:val="32"/>
          <w:szCs w:val="32"/>
        </w:rPr>
        <w:t>1</w:t>
      </w:r>
      <w:r>
        <w:rPr>
          <w:rFonts w:hint="eastAsia"/>
          <w:sz w:val="32"/>
          <w:szCs w:val="32"/>
        </w:rPr>
        <w:t>）公务用车购置支出</w:t>
      </w:r>
      <w:r>
        <w:rPr>
          <w:rFonts w:ascii="Times New Roman" w:hAnsi="Times New Roman" w:cs="Times New Roman"/>
          <w:sz w:val="32"/>
          <w:szCs w:val="32"/>
        </w:rPr>
        <w:t>0.00</w:t>
      </w:r>
      <w:r>
        <w:rPr>
          <w:rFonts w:hint="eastAsia"/>
          <w:sz w:val="32"/>
          <w:szCs w:val="32"/>
        </w:rPr>
        <w:t>万元。本年度使用财政拨款购置公务用车</w:t>
      </w:r>
      <w:r>
        <w:rPr>
          <w:rFonts w:ascii="Times New Roman" w:hAnsi="Times New Roman" w:cs="Times New Roman"/>
          <w:sz w:val="32"/>
          <w:szCs w:val="32"/>
        </w:rPr>
        <w:t>0</w:t>
      </w:r>
      <w:r>
        <w:rPr>
          <w:rFonts w:hint="eastAsia"/>
          <w:sz w:val="32"/>
          <w:szCs w:val="32"/>
        </w:rPr>
        <w:t>辆。</w:t>
      </w:r>
      <w:r>
        <w:rPr>
          <w:rFonts w:hint="eastAsia" w:hAnsi="Times New Roman" w:cs="仿宋_GB2312"/>
          <w:kern w:val="2"/>
          <w:sz w:val="32"/>
          <w:szCs w:val="32"/>
        </w:rPr>
        <w:t>开支内容：未购置公务用车。</w:t>
      </w:r>
      <w:r>
        <w:rPr>
          <w:rFonts w:hint="eastAsia"/>
          <w:sz w:val="32"/>
          <w:szCs w:val="32"/>
        </w:rPr>
        <w:t>与上年决算相比，增加</w:t>
      </w:r>
      <w:r>
        <w:rPr>
          <w:rFonts w:ascii="Times New Roman" w:hAnsi="Times New Roman" w:cs="Times New Roman"/>
          <w:sz w:val="32"/>
          <w:szCs w:val="32"/>
        </w:rPr>
        <w:t>0.00</w:t>
      </w:r>
      <w:r>
        <w:rPr>
          <w:rFonts w:hint="eastAsia"/>
          <w:sz w:val="32"/>
          <w:szCs w:val="32"/>
        </w:rPr>
        <w:t>万元，增长</w:t>
      </w:r>
      <w:r>
        <w:rPr>
          <w:rFonts w:ascii="Times New Roman" w:hAnsi="Times New Roman" w:cs="Times New Roman"/>
          <w:sz w:val="32"/>
          <w:szCs w:val="32"/>
        </w:rPr>
        <w:t>0.00</w:t>
      </w:r>
      <w:r>
        <w:rPr>
          <w:rFonts w:hint="eastAsia"/>
          <w:sz w:val="32"/>
          <w:szCs w:val="32"/>
        </w:rPr>
        <w:t>%，变动原因：不涉及相关业务。</w:t>
      </w:r>
    </w:p>
    <w:p>
      <w:pPr>
        <w:spacing w:before="100" w:beforeAutospacing="1" w:after="100" w:afterAutospacing="1" w:line="560" w:lineRule="atLeast"/>
        <w:ind w:firstLine="640"/>
        <w:jc w:val="both"/>
      </w:pPr>
      <w:r>
        <w:rPr>
          <w:rFonts w:hint="eastAsia"/>
          <w:sz w:val="32"/>
          <w:szCs w:val="32"/>
        </w:rPr>
        <w:t>（</w:t>
      </w:r>
      <w:r>
        <w:rPr>
          <w:rFonts w:ascii="Times New Roman" w:hAnsi="Times New Roman" w:cs="Times New Roman"/>
          <w:sz w:val="32"/>
          <w:szCs w:val="32"/>
        </w:rPr>
        <w:t>2</w:t>
      </w:r>
      <w:r>
        <w:rPr>
          <w:rFonts w:hint="eastAsia"/>
          <w:sz w:val="32"/>
          <w:szCs w:val="32"/>
        </w:rPr>
        <w:t>）公务用车运行维护费支出</w:t>
      </w:r>
      <w:r>
        <w:rPr>
          <w:rFonts w:ascii="Times New Roman" w:hAnsi="Times New Roman" w:cs="Times New Roman"/>
          <w:sz w:val="32"/>
          <w:szCs w:val="32"/>
        </w:rPr>
        <w:t>0.00</w:t>
      </w:r>
      <w:r>
        <w:rPr>
          <w:rFonts w:hint="eastAsia"/>
          <w:sz w:val="32"/>
          <w:szCs w:val="32"/>
        </w:rPr>
        <w:t>万元。公务用车运行维护费主要用于按规定保留的公务用车的燃料费、维修费、过桥过路费、保险费、安全奖励费用等支出。截至</w:t>
      </w:r>
      <w:r>
        <w:rPr>
          <w:rFonts w:ascii="Times New Roman" w:hAnsi="Times New Roman" w:cs="Times New Roman"/>
          <w:sz w:val="32"/>
          <w:szCs w:val="32"/>
        </w:rPr>
        <w:t>2022</w:t>
      </w:r>
      <w:r>
        <w:rPr>
          <w:rFonts w:hint="eastAsia"/>
          <w:sz w:val="32"/>
          <w:szCs w:val="32"/>
        </w:rPr>
        <w:t>年</w:t>
      </w:r>
      <w:r>
        <w:rPr>
          <w:rFonts w:ascii="Times New Roman" w:hAnsi="Times New Roman" w:cs="Times New Roman"/>
          <w:sz w:val="32"/>
          <w:szCs w:val="32"/>
        </w:rPr>
        <w:t>12</w:t>
      </w:r>
      <w:r>
        <w:rPr>
          <w:rFonts w:hint="eastAsia"/>
          <w:sz w:val="32"/>
          <w:szCs w:val="32"/>
        </w:rPr>
        <w:t>月</w:t>
      </w:r>
      <w:r>
        <w:rPr>
          <w:rFonts w:ascii="Times New Roman" w:hAnsi="Times New Roman" w:cs="Times New Roman"/>
          <w:sz w:val="32"/>
          <w:szCs w:val="32"/>
        </w:rPr>
        <w:t>31</w:t>
      </w:r>
      <w:r>
        <w:rPr>
          <w:rFonts w:hint="eastAsia"/>
          <w:sz w:val="32"/>
          <w:szCs w:val="32"/>
        </w:rPr>
        <w:t>日，使用财政拨款开支的公务用车保有量为</w:t>
      </w:r>
      <w:r>
        <w:rPr>
          <w:rFonts w:ascii="Times New Roman" w:hAnsi="Times New Roman" w:cs="Times New Roman"/>
          <w:sz w:val="32"/>
          <w:szCs w:val="32"/>
        </w:rPr>
        <w:t>0</w:t>
      </w:r>
      <w:r>
        <w:rPr>
          <w:rFonts w:hint="eastAsia"/>
          <w:sz w:val="32"/>
          <w:szCs w:val="32"/>
        </w:rPr>
        <w:t>辆。与上年决算相比，增加</w:t>
      </w:r>
      <w:r>
        <w:rPr>
          <w:rFonts w:ascii="Times New Roman" w:hAnsi="Times New Roman" w:cs="Times New Roman"/>
          <w:sz w:val="32"/>
          <w:szCs w:val="32"/>
        </w:rPr>
        <w:t>0.00</w:t>
      </w:r>
      <w:r>
        <w:rPr>
          <w:rFonts w:hint="eastAsia"/>
          <w:sz w:val="32"/>
          <w:szCs w:val="32"/>
        </w:rPr>
        <w:t>万元，增长0.00%，变动原因：不涉及相关业务。</w:t>
      </w:r>
    </w:p>
    <w:p>
      <w:pPr>
        <w:spacing w:before="100" w:beforeAutospacing="1" w:after="100" w:afterAutospacing="1" w:line="560" w:lineRule="atLeast"/>
        <w:ind w:firstLine="640"/>
        <w:jc w:val="both"/>
        <w:rPr>
          <w:sz w:val="32"/>
          <w:szCs w:val="32"/>
        </w:rPr>
      </w:pPr>
      <w:r>
        <w:rPr>
          <w:rFonts w:ascii="Times New Roman" w:hAnsi="Times New Roman" w:cs="Times New Roman"/>
          <w:sz w:val="32"/>
          <w:szCs w:val="32"/>
        </w:rPr>
        <w:t>3.</w:t>
      </w:r>
      <w:r>
        <w:rPr>
          <w:rFonts w:hint="eastAsia"/>
          <w:sz w:val="32"/>
          <w:szCs w:val="32"/>
        </w:rPr>
        <w:t>公务接待费支出</w:t>
      </w:r>
      <w:r>
        <w:rPr>
          <w:rFonts w:ascii="Times New Roman" w:hAnsi="Times New Roman" w:cs="Times New Roman"/>
          <w:sz w:val="32"/>
          <w:szCs w:val="32"/>
        </w:rPr>
        <w:t>0.00</w:t>
      </w:r>
      <w:r>
        <w:rPr>
          <w:rFonts w:hint="eastAsia"/>
          <w:sz w:val="32"/>
          <w:szCs w:val="32"/>
        </w:rPr>
        <w:t>万元。其中：国内公务接待支出</w:t>
      </w:r>
      <w:r>
        <w:rPr>
          <w:rFonts w:ascii="Times New Roman" w:hAnsi="Times New Roman" w:cs="Times New Roman"/>
          <w:sz w:val="32"/>
          <w:szCs w:val="32"/>
        </w:rPr>
        <w:t>0.00</w:t>
      </w:r>
      <w:r>
        <w:rPr>
          <w:rFonts w:hint="eastAsia"/>
          <w:sz w:val="32"/>
          <w:szCs w:val="32"/>
        </w:rPr>
        <w:t>万元，接待</w:t>
      </w:r>
      <w:r>
        <w:rPr>
          <w:rFonts w:ascii="Times New Roman" w:hAnsi="Times New Roman" w:cs="Times New Roman"/>
          <w:sz w:val="32"/>
          <w:szCs w:val="32"/>
        </w:rPr>
        <w:t>0</w:t>
      </w:r>
      <w:r>
        <w:rPr>
          <w:rFonts w:hint="eastAsia"/>
          <w:sz w:val="32"/>
          <w:szCs w:val="32"/>
        </w:rPr>
        <w:t>批次，</w:t>
      </w:r>
      <w:r>
        <w:rPr>
          <w:rFonts w:ascii="Times New Roman" w:hAnsi="Times New Roman" w:cs="Times New Roman"/>
          <w:sz w:val="32"/>
          <w:szCs w:val="32"/>
        </w:rPr>
        <w:t>0</w:t>
      </w:r>
      <w:r>
        <w:rPr>
          <w:rFonts w:hint="eastAsia"/>
          <w:sz w:val="32"/>
          <w:szCs w:val="32"/>
        </w:rPr>
        <w:t>人次，开支内容：无；国（境）外公务接待支出</w:t>
      </w:r>
      <w:r>
        <w:rPr>
          <w:rFonts w:ascii="Times New Roman" w:hAnsi="Times New Roman" w:cs="Times New Roman"/>
          <w:sz w:val="32"/>
          <w:szCs w:val="32"/>
        </w:rPr>
        <w:t>0.00</w:t>
      </w:r>
      <w:r>
        <w:rPr>
          <w:rFonts w:hint="eastAsia"/>
          <w:sz w:val="32"/>
          <w:szCs w:val="32"/>
        </w:rPr>
        <w:t>万元，接待</w:t>
      </w:r>
      <w:r>
        <w:rPr>
          <w:rFonts w:ascii="Times New Roman" w:hAnsi="Times New Roman" w:cs="Times New Roman"/>
          <w:sz w:val="32"/>
          <w:szCs w:val="32"/>
        </w:rPr>
        <w:t>0</w:t>
      </w:r>
      <w:r>
        <w:rPr>
          <w:rFonts w:hint="eastAsia"/>
          <w:sz w:val="32"/>
          <w:szCs w:val="32"/>
        </w:rPr>
        <w:t>批次，</w:t>
      </w:r>
      <w:r>
        <w:rPr>
          <w:rFonts w:ascii="Times New Roman" w:hAnsi="Times New Roman" w:cs="Times New Roman"/>
          <w:sz w:val="32"/>
          <w:szCs w:val="32"/>
        </w:rPr>
        <w:t>0</w:t>
      </w:r>
      <w:r>
        <w:rPr>
          <w:rFonts w:hint="eastAsia"/>
          <w:sz w:val="32"/>
          <w:szCs w:val="32"/>
        </w:rPr>
        <w:t>人次，开支内容：无。与上年决算相比，增加</w:t>
      </w:r>
      <w:r>
        <w:rPr>
          <w:rFonts w:ascii="Times New Roman" w:hAnsi="Times New Roman" w:cs="Times New Roman"/>
          <w:sz w:val="32"/>
          <w:szCs w:val="32"/>
        </w:rPr>
        <w:t>0.00</w:t>
      </w:r>
      <w:r>
        <w:rPr>
          <w:rFonts w:hint="eastAsia"/>
          <w:sz w:val="32"/>
          <w:szCs w:val="32"/>
        </w:rPr>
        <w:t>万元，增长</w:t>
      </w:r>
      <w:r>
        <w:rPr>
          <w:rFonts w:ascii="Times New Roman" w:hAnsi="Times New Roman" w:cs="Times New Roman"/>
          <w:sz w:val="32"/>
          <w:szCs w:val="32"/>
        </w:rPr>
        <w:t>0.00</w:t>
      </w:r>
      <w:r>
        <w:rPr>
          <w:rFonts w:hint="eastAsia"/>
          <w:sz w:val="32"/>
          <w:szCs w:val="32"/>
        </w:rPr>
        <w:t>%，变动原因：不涉及相关业务。</w:t>
      </w:r>
    </w:p>
    <w:p>
      <w:pPr>
        <w:spacing w:before="100" w:beforeAutospacing="1" w:after="100" w:afterAutospacing="1" w:line="600" w:lineRule="atLeast"/>
        <w:ind w:firstLine="643"/>
        <w:jc w:val="both"/>
      </w:pPr>
      <w:r>
        <w:rPr>
          <w:rFonts w:hint="eastAsia" w:ascii="黑体" w:hAnsi="黑体" w:eastAsia="黑体"/>
          <w:b/>
          <w:bCs/>
          <w:color w:val="000000"/>
          <w:sz w:val="32"/>
          <w:szCs w:val="32"/>
        </w:rPr>
        <w:t>九、</w:t>
      </w:r>
      <w:r>
        <w:rPr>
          <w:rFonts w:hint="eastAsia" w:ascii="黑体" w:hAnsi="黑体" w:eastAsia="黑体"/>
          <w:b/>
          <w:bCs/>
          <w:sz w:val="32"/>
          <w:szCs w:val="32"/>
        </w:rPr>
        <w:t>政府性基金预算财政拨款支出决算情况说明</w:t>
      </w:r>
    </w:p>
    <w:p>
      <w:pPr>
        <w:spacing w:before="100" w:beforeAutospacing="1" w:after="100" w:afterAutospacing="1" w:line="560" w:lineRule="atLeast"/>
        <w:ind w:firstLine="640"/>
        <w:jc w:val="both"/>
      </w:pPr>
      <w:r>
        <w:rPr>
          <w:rFonts w:hint="eastAsia"/>
          <w:sz w:val="32"/>
          <w:szCs w:val="32"/>
          <w:lang w:eastAsia="zh-CN"/>
        </w:rPr>
        <w:t>包头市人民政府国有资产监督管理委员会（部门）</w:t>
      </w:r>
      <w:r>
        <w:rPr>
          <w:rFonts w:hint="eastAsia"/>
          <w:sz w:val="32"/>
          <w:szCs w:val="32"/>
        </w:rPr>
        <w:t>单位2022年度政府性基金支出决算</w:t>
      </w:r>
      <w:r>
        <w:rPr>
          <w:rFonts w:ascii="Times New Roman" w:hAnsi="Times New Roman" w:cs="Times New Roman"/>
          <w:sz w:val="32"/>
          <w:szCs w:val="32"/>
          <w:u w:val="single"/>
        </w:rPr>
        <w:t>37,000.00</w:t>
      </w:r>
      <w:r>
        <w:rPr>
          <w:rFonts w:hint="eastAsia"/>
          <w:sz w:val="32"/>
          <w:szCs w:val="32"/>
        </w:rPr>
        <w:t>万元。与上年决算相比，增加</w:t>
      </w:r>
      <w:r>
        <w:rPr>
          <w:rFonts w:ascii="Times New Roman" w:hAnsi="Times New Roman" w:cs="Times New Roman"/>
          <w:sz w:val="32"/>
          <w:szCs w:val="32"/>
          <w:u w:val="single"/>
        </w:rPr>
        <w:t>37,000.00</w:t>
      </w:r>
      <w:r>
        <w:rPr>
          <w:rFonts w:hint="eastAsia"/>
          <w:sz w:val="32"/>
          <w:szCs w:val="32"/>
        </w:rPr>
        <w:t>万元，变动原因：本年度增加财政专项资金拨款。</w:t>
      </w:r>
    </w:p>
    <w:p>
      <w:pPr>
        <w:spacing w:before="100" w:beforeAutospacing="1" w:after="100" w:afterAutospacing="1" w:line="560" w:lineRule="atLeast"/>
        <w:ind w:firstLine="640"/>
        <w:jc w:val="both"/>
        <w:rPr>
          <w:sz w:val="32"/>
          <w:szCs w:val="32"/>
        </w:rPr>
      </w:pPr>
      <w:r>
        <w:rPr>
          <w:sz w:val="32"/>
          <w:szCs w:val="32"/>
        </w:rPr>
        <w:t>其他地方自行试点项目收益专项债券收入安排的支出</w:t>
      </w:r>
      <w:r>
        <w:rPr>
          <w:rFonts w:hint="eastAsia"/>
          <w:sz w:val="32"/>
          <w:szCs w:val="32"/>
        </w:rPr>
        <w:t>37000万元，</w:t>
      </w:r>
      <w:r>
        <w:rPr>
          <w:rFonts w:hint="eastAsia" w:cs="仿宋_GB2312"/>
          <w:kern w:val="2"/>
          <w:sz w:val="32"/>
          <w:szCs w:val="32"/>
        </w:rPr>
        <w:t>主要用于</w:t>
      </w:r>
      <w:r>
        <w:rPr>
          <w:rFonts w:hint="eastAsia"/>
          <w:sz w:val="32"/>
          <w:szCs w:val="32"/>
        </w:rPr>
        <w:t>包头乐园升级改造项目政府专项债券资金5000万元，包头市集中供热环城北干线工程专项债券资金30000万元，包钢职业技术学院产教融合实训大楼项目专项债券资金2000万元。</w:t>
      </w:r>
    </w:p>
    <w:p>
      <w:pPr>
        <w:spacing w:before="100" w:beforeAutospacing="1" w:after="100" w:afterAutospacing="1" w:line="560" w:lineRule="atLeast"/>
        <w:ind w:firstLine="640"/>
        <w:jc w:val="both"/>
      </w:pPr>
      <w:r>
        <w:rPr>
          <w:rFonts w:hint="eastAsia"/>
          <w:sz w:val="32"/>
          <w:szCs w:val="32"/>
        </w:rPr>
        <w:t>包头市国资国企改革发展促进中心单位2022年度政府性基金支出决算</w:t>
      </w:r>
      <w:r>
        <w:rPr>
          <w:rFonts w:ascii="Times New Roman" w:hAnsi="Times New Roman" w:cs="Times New Roman"/>
          <w:sz w:val="32"/>
          <w:szCs w:val="32"/>
        </w:rPr>
        <w:t>0.00</w:t>
      </w:r>
      <w:r>
        <w:rPr>
          <w:rFonts w:hint="eastAsia"/>
          <w:sz w:val="32"/>
          <w:szCs w:val="32"/>
        </w:rPr>
        <w:t>万元。与上年决算相比，增加</w:t>
      </w:r>
      <w:r>
        <w:rPr>
          <w:rFonts w:ascii="Times New Roman" w:hAnsi="Times New Roman" w:cs="Times New Roman"/>
          <w:sz w:val="32"/>
          <w:szCs w:val="32"/>
        </w:rPr>
        <w:t>0.00</w:t>
      </w:r>
      <w:r>
        <w:rPr>
          <w:rFonts w:hint="eastAsia"/>
          <w:sz w:val="32"/>
          <w:szCs w:val="32"/>
        </w:rPr>
        <w:t>万元，增长</w:t>
      </w:r>
      <w:r>
        <w:rPr>
          <w:rFonts w:ascii="Times New Roman" w:hAnsi="Times New Roman" w:cs="Times New Roman"/>
          <w:sz w:val="32"/>
          <w:szCs w:val="32"/>
        </w:rPr>
        <w:t>0.00</w:t>
      </w:r>
      <w:r>
        <w:rPr>
          <w:rFonts w:hint="eastAsia"/>
          <w:sz w:val="32"/>
          <w:szCs w:val="32"/>
        </w:rPr>
        <w:t>%，变动原因：不涉及相关业务。</w:t>
      </w:r>
    </w:p>
    <w:p>
      <w:pPr>
        <w:spacing w:before="100" w:beforeAutospacing="1" w:after="100" w:afterAutospacing="1" w:line="560" w:lineRule="atLeast"/>
        <w:jc w:val="both"/>
        <w:rPr>
          <w:sz w:val="32"/>
          <w:szCs w:val="32"/>
        </w:rPr>
      </w:pPr>
    </w:p>
    <w:p>
      <w:pPr>
        <w:spacing w:before="100" w:beforeAutospacing="1" w:after="100" w:afterAutospacing="1" w:line="600" w:lineRule="atLeast"/>
        <w:ind w:firstLine="643"/>
        <w:jc w:val="both"/>
      </w:pPr>
      <w:r>
        <w:rPr>
          <w:rFonts w:hint="eastAsia" w:ascii="黑体" w:hAnsi="黑体" w:eastAsia="黑体"/>
          <w:b/>
          <w:bCs/>
          <w:color w:val="000000"/>
          <w:sz w:val="32"/>
          <w:szCs w:val="32"/>
        </w:rPr>
        <w:t>十、</w:t>
      </w:r>
      <w:r>
        <w:rPr>
          <w:rFonts w:hint="eastAsia" w:ascii="黑体" w:hAnsi="黑体" w:eastAsia="黑体"/>
          <w:b/>
          <w:bCs/>
          <w:sz w:val="32"/>
          <w:szCs w:val="32"/>
        </w:rPr>
        <w:t>国有资本经营预算财政拨款支出决算情况说明</w:t>
      </w:r>
    </w:p>
    <w:p>
      <w:pPr>
        <w:spacing w:before="100" w:beforeAutospacing="1" w:after="100" w:afterAutospacing="1" w:line="560" w:lineRule="atLeast"/>
        <w:ind w:firstLine="640"/>
        <w:jc w:val="both"/>
        <w:rPr>
          <w:sz w:val="32"/>
          <w:szCs w:val="32"/>
        </w:rPr>
      </w:pPr>
      <w:r>
        <w:rPr>
          <w:rFonts w:hint="eastAsia"/>
          <w:sz w:val="32"/>
          <w:szCs w:val="32"/>
          <w:lang w:eastAsia="zh-CN"/>
        </w:rPr>
        <w:t>包头市人民政府国有资产监督管理委员会（部门）</w:t>
      </w:r>
      <w:r>
        <w:rPr>
          <w:rFonts w:hint="eastAsia"/>
          <w:sz w:val="32"/>
          <w:szCs w:val="32"/>
        </w:rPr>
        <w:t>单位2022年度国有资本经营预算支出决算</w:t>
      </w:r>
      <w:r>
        <w:rPr>
          <w:rFonts w:ascii="Times New Roman" w:hAnsi="Times New Roman" w:cs="Times New Roman"/>
          <w:sz w:val="32"/>
          <w:szCs w:val="32"/>
          <w:u w:val="single"/>
        </w:rPr>
        <w:t>826.06</w:t>
      </w:r>
      <w:r>
        <w:rPr>
          <w:rFonts w:hint="eastAsia"/>
          <w:sz w:val="32"/>
          <w:szCs w:val="32"/>
        </w:rPr>
        <w:t>万元。与上年决算相比，增加</w:t>
      </w:r>
      <w:r>
        <w:rPr>
          <w:rFonts w:ascii="Times New Roman" w:hAnsi="Times New Roman" w:cs="Times New Roman"/>
          <w:sz w:val="32"/>
          <w:szCs w:val="32"/>
          <w:u w:val="single"/>
        </w:rPr>
        <w:t>12.81</w:t>
      </w:r>
      <w:r>
        <w:rPr>
          <w:rFonts w:hint="eastAsia"/>
          <w:sz w:val="32"/>
          <w:szCs w:val="32"/>
        </w:rPr>
        <w:t>万元，增长</w:t>
      </w:r>
      <w:r>
        <w:rPr>
          <w:rFonts w:ascii="Times New Roman" w:hAnsi="Times New Roman" w:cs="Times New Roman"/>
          <w:sz w:val="32"/>
          <w:szCs w:val="32"/>
          <w:u w:val="single"/>
        </w:rPr>
        <w:t>1.58</w:t>
      </w:r>
      <w:r>
        <w:rPr>
          <w:rFonts w:hint="eastAsia"/>
          <w:sz w:val="32"/>
          <w:szCs w:val="32"/>
        </w:rPr>
        <w:t>%，变动原因：本年度增加财政专项资金拨款</w:t>
      </w:r>
    </w:p>
    <w:p>
      <w:pPr>
        <w:spacing w:line="560" w:lineRule="exact"/>
        <w:ind w:firstLine="640"/>
        <w:jc w:val="both"/>
        <w:rPr>
          <w:rFonts w:cs="仿宋_GB2312"/>
          <w:kern w:val="2"/>
          <w:sz w:val="32"/>
          <w:szCs w:val="32"/>
        </w:rPr>
      </w:pPr>
      <w:r>
        <w:rPr>
          <w:rFonts w:hint="eastAsia" w:cs="仿宋_GB2312"/>
          <w:kern w:val="2"/>
          <w:sz w:val="32"/>
          <w:szCs w:val="32"/>
        </w:rPr>
        <w:t>（一）国有资本经营预算支出（类）解决历史遗留问题及改革成本支出（款）</w:t>
      </w:r>
      <w:r>
        <w:rPr>
          <w:rFonts w:hint="eastAsia" w:ascii="Times New Roman" w:hAnsi="Times New Roman" w:cs="Times New Roman"/>
          <w:kern w:val="2"/>
          <w:sz w:val="32"/>
          <w:szCs w:val="32"/>
        </w:rPr>
        <w:t>其他解决历史遗留问题及改革成本支出</w:t>
      </w:r>
      <w:r>
        <w:rPr>
          <w:rFonts w:hint="eastAsia" w:cs="仿宋_GB2312"/>
          <w:kern w:val="2"/>
          <w:sz w:val="32"/>
          <w:szCs w:val="32"/>
        </w:rPr>
        <w:t>（项）支出</w:t>
      </w:r>
      <w:r>
        <w:rPr>
          <w:rFonts w:ascii="Times New Roman" w:hAnsi="Times New Roman"/>
          <w:kern w:val="2"/>
          <w:sz w:val="32"/>
          <w:szCs w:val="32"/>
          <w:u w:val="single"/>
        </w:rPr>
        <w:t>775.78</w:t>
      </w:r>
      <w:r>
        <w:rPr>
          <w:rFonts w:hint="eastAsia" w:cs="仿宋_GB2312"/>
          <w:kern w:val="2"/>
          <w:sz w:val="32"/>
          <w:szCs w:val="32"/>
        </w:rPr>
        <w:t>万元，主要用于搪瓷厂、亚麻厂退休职工社保费775.78万元。</w:t>
      </w:r>
    </w:p>
    <w:p>
      <w:pPr>
        <w:ind w:firstLine="640"/>
        <w:rPr>
          <w:rFonts w:cs="仿宋_GB2312"/>
          <w:kern w:val="2"/>
          <w:sz w:val="32"/>
          <w:szCs w:val="32"/>
        </w:rPr>
      </w:pPr>
      <w:r>
        <w:rPr>
          <w:rFonts w:hint="eastAsia" w:cs="仿宋_GB2312"/>
          <w:kern w:val="2"/>
          <w:sz w:val="32"/>
          <w:szCs w:val="32"/>
        </w:rPr>
        <w:t>(二)</w:t>
      </w:r>
      <w:r>
        <w:rPr>
          <w:rFonts w:hint="eastAsia"/>
        </w:rPr>
        <w:t xml:space="preserve"> </w:t>
      </w:r>
      <w:r>
        <w:rPr>
          <w:rFonts w:hint="eastAsia" w:cs="仿宋_GB2312"/>
          <w:kern w:val="2"/>
          <w:sz w:val="32"/>
          <w:szCs w:val="32"/>
        </w:rPr>
        <w:t>国有资本经营预算支出（类）其他国有资本经营预算支出（款）其他国有资本经营预算支出（项）主要用于包头亚麻纺织厂职工工作经费20万元，包铝股权转让缴纳税务局印花税10.43万元，包铝股权转让资产评估费11.85万元，包铝股权转让律师服务费8万元。</w:t>
      </w:r>
    </w:p>
    <w:p>
      <w:pPr>
        <w:spacing w:before="100" w:beforeAutospacing="1" w:after="100" w:afterAutospacing="1" w:line="560" w:lineRule="atLeast"/>
        <w:ind w:firstLine="640"/>
        <w:jc w:val="both"/>
      </w:pPr>
      <w:r>
        <w:rPr>
          <w:rFonts w:hint="eastAsia"/>
          <w:sz w:val="32"/>
          <w:szCs w:val="32"/>
        </w:rPr>
        <w:t>包头市国资国企改革发展促进中心单位2022年度国有资本经营预算支出决算</w:t>
      </w:r>
      <w:r>
        <w:rPr>
          <w:rFonts w:ascii="Times New Roman" w:hAnsi="Times New Roman" w:cs="Times New Roman"/>
          <w:sz w:val="32"/>
          <w:szCs w:val="32"/>
        </w:rPr>
        <w:t>0.00</w:t>
      </w:r>
      <w:r>
        <w:rPr>
          <w:rFonts w:hint="eastAsia"/>
          <w:sz w:val="32"/>
          <w:szCs w:val="32"/>
        </w:rPr>
        <w:t>万元。与上年决算相比，增加</w:t>
      </w:r>
      <w:r>
        <w:rPr>
          <w:rFonts w:ascii="Times New Roman" w:hAnsi="Times New Roman" w:cs="Times New Roman"/>
          <w:sz w:val="32"/>
          <w:szCs w:val="32"/>
        </w:rPr>
        <w:t>0.00</w:t>
      </w:r>
      <w:r>
        <w:rPr>
          <w:rFonts w:hint="eastAsia"/>
          <w:sz w:val="32"/>
          <w:szCs w:val="32"/>
        </w:rPr>
        <w:t>万元，增长</w:t>
      </w:r>
      <w:r>
        <w:rPr>
          <w:rFonts w:ascii="Times New Roman" w:hAnsi="Times New Roman" w:cs="Times New Roman"/>
          <w:sz w:val="32"/>
          <w:szCs w:val="32"/>
        </w:rPr>
        <w:t>0.00</w:t>
      </w:r>
      <w:r>
        <w:rPr>
          <w:rFonts w:hint="eastAsia"/>
          <w:sz w:val="32"/>
          <w:szCs w:val="32"/>
        </w:rPr>
        <w:t>%，变动原因：本单位无国有资本经营预算财政拨款收、支、余。</w:t>
      </w:r>
    </w:p>
    <w:p>
      <w:pPr>
        <w:ind w:firstLine="640"/>
        <w:rPr>
          <w:rFonts w:cs="仿宋_GB2312"/>
          <w:kern w:val="2"/>
          <w:sz w:val="32"/>
          <w:szCs w:val="32"/>
        </w:rPr>
      </w:pPr>
    </w:p>
    <w:p>
      <w:pPr>
        <w:keepNext/>
        <w:spacing w:before="100" w:beforeAutospacing="1" w:after="100" w:afterAutospacing="1" w:line="600" w:lineRule="atLeast"/>
        <w:ind w:firstLine="643"/>
        <w:jc w:val="both"/>
      </w:pPr>
      <w:r>
        <w:rPr>
          <w:rFonts w:hint="eastAsia" w:ascii="黑体" w:hAnsi="黑体" w:eastAsia="黑体"/>
          <w:b/>
          <w:bCs/>
          <w:color w:val="000000"/>
          <w:sz w:val="32"/>
          <w:szCs w:val="32"/>
        </w:rPr>
        <w:t>十一、</w:t>
      </w:r>
      <w:r>
        <w:rPr>
          <w:rFonts w:hint="eastAsia" w:ascii="黑体" w:hAnsi="黑体" w:eastAsia="黑体"/>
          <w:b/>
          <w:bCs/>
          <w:sz w:val="32"/>
          <w:szCs w:val="32"/>
        </w:rPr>
        <w:t>项目支出决算情况说明</w:t>
      </w:r>
    </w:p>
    <w:p>
      <w:pPr>
        <w:spacing w:before="100" w:beforeAutospacing="1" w:after="100" w:afterAutospacing="1" w:line="560" w:lineRule="atLeast"/>
        <w:ind w:firstLine="640"/>
        <w:jc w:val="both"/>
        <w:rPr>
          <w:sz w:val="32"/>
          <w:szCs w:val="32"/>
        </w:rPr>
      </w:pPr>
      <w:r>
        <w:rPr>
          <w:rFonts w:hint="eastAsia"/>
          <w:sz w:val="32"/>
          <w:szCs w:val="32"/>
          <w:lang w:eastAsia="zh-CN"/>
        </w:rPr>
        <w:t>包头市人民政府国有资产监督管理委员会（部门）</w:t>
      </w:r>
      <w:r>
        <w:rPr>
          <w:rFonts w:hint="eastAsia"/>
          <w:sz w:val="32"/>
          <w:szCs w:val="32"/>
        </w:rPr>
        <w:t>单位2022年度预算安排项目</w:t>
      </w:r>
      <w:r>
        <w:rPr>
          <w:rFonts w:ascii="Times New Roman" w:hAnsi="Times New Roman" w:cs="Times New Roman"/>
          <w:sz w:val="32"/>
          <w:szCs w:val="32"/>
          <w:u w:val="single"/>
        </w:rPr>
        <w:t>14</w:t>
      </w:r>
      <w:r>
        <w:rPr>
          <w:rFonts w:hint="eastAsia"/>
          <w:sz w:val="32"/>
          <w:szCs w:val="32"/>
        </w:rPr>
        <w:t>个，实施项目</w:t>
      </w:r>
      <w:r>
        <w:rPr>
          <w:rFonts w:ascii="Times New Roman" w:hAnsi="Times New Roman" w:cs="Times New Roman"/>
          <w:sz w:val="32"/>
          <w:szCs w:val="32"/>
          <w:u w:val="single"/>
        </w:rPr>
        <w:t>14</w:t>
      </w:r>
      <w:r>
        <w:rPr>
          <w:rFonts w:hint="eastAsia"/>
          <w:sz w:val="32"/>
          <w:szCs w:val="32"/>
        </w:rPr>
        <w:t>个，完成项目</w:t>
      </w:r>
      <w:r>
        <w:rPr>
          <w:rFonts w:ascii="Times New Roman" w:hAnsi="Times New Roman" w:cs="Times New Roman"/>
          <w:sz w:val="32"/>
          <w:szCs w:val="32"/>
          <w:u w:val="single"/>
        </w:rPr>
        <w:t>14</w:t>
      </w:r>
      <w:r>
        <w:rPr>
          <w:rFonts w:hint="eastAsia"/>
          <w:sz w:val="32"/>
          <w:szCs w:val="32"/>
        </w:rPr>
        <w:t>个，项目支出总金额</w:t>
      </w:r>
      <w:r>
        <w:rPr>
          <w:rFonts w:ascii="Times New Roman" w:hAnsi="Times New Roman" w:cs="Times New Roman"/>
          <w:sz w:val="32"/>
          <w:szCs w:val="32"/>
          <w:u w:val="single"/>
        </w:rPr>
        <w:t>38,392.82</w:t>
      </w:r>
      <w:r>
        <w:rPr>
          <w:rFonts w:hint="eastAsia"/>
          <w:sz w:val="32"/>
          <w:szCs w:val="32"/>
        </w:rPr>
        <w:t>万元。资金来源包括年初结转结余</w:t>
      </w:r>
      <w:r>
        <w:rPr>
          <w:rFonts w:ascii="Times New Roman" w:hAnsi="Times New Roman" w:cs="Times New Roman"/>
          <w:sz w:val="32"/>
          <w:szCs w:val="32"/>
          <w:u w:val="single"/>
        </w:rPr>
        <w:t>0.00</w:t>
      </w:r>
      <w:r>
        <w:rPr>
          <w:rFonts w:hint="eastAsia"/>
          <w:sz w:val="32"/>
          <w:szCs w:val="32"/>
        </w:rPr>
        <w:t>万元，本年财政拨款金额</w:t>
      </w:r>
      <w:r>
        <w:rPr>
          <w:rFonts w:ascii="Times New Roman" w:hAnsi="Times New Roman" w:cs="Times New Roman"/>
          <w:sz w:val="32"/>
          <w:szCs w:val="32"/>
          <w:u w:val="single"/>
        </w:rPr>
        <w:t>38,392.82</w:t>
      </w:r>
      <w:r>
        <w:rPr>
          <w:rFonts w:hint="eastAsia"/>
          <w:sz w:val="32"/>
          <w:szCs w:val="32"/>
        </w:rPr>
        <w:t>万元，本年其他资金</w:t>
      </w:r>
      <w:r>
        <w:rPr>
          <w:rFonts w:ascii="Times New Roman" w:hAnsi="Times New Roman" w:cs="Times New Roman"/>
          <w:sz w:val="32"/>
          <w:szCs w:val="32"/>
          <w:u w:val="single"/>
        </w:rPr>
        <w:t>0.00</w:t>
      </w:r>
      <w:r>
        <w:rPr>
          <w:rFonts w:hint="eastAsia"/>
          <w:sz w:val="32"/>
          <w:szCs w:val="32"/>
        </w:rPr>
        <w:t>万元。</w:t>
      </w:r>
    </w:p>
    <w:p>
      <w:pPr>
        <w:spacing w:before="100" w:beforeAutospacing="1" w:after="100" w:afterAutospacing="1" w:line="560" w:lineRule="atLeast"/>
        <w:ind w:firstLine="640"/>
        <w:jc w:val="both"/>
      </w:pPr>
      <w:r>
        <w:rPr>
          <w:rFonts w:hint="eastAsia"/>
          <w:sz w:val="32"/>
          <w:szCs w:val="32"/>
        </w:rPr>
        <w:t>包头市国资国企改革发展促进中心单位2022年度预算安排项目</w:t>
      </w:r>
      <w:r>
        <w:rPr>
          <w:rFonts w:ascii="Times New Roman" w:hAnsi="Times New Roman" w:cs="Times New Roman"/>
          <w:sz w:val="32"/>
          <w:szCs w:val="32"/>
        </w:rPr>
        <w:t xml:space="preserve">3 </w:t>
      </w:r>
      <w:r>
        <w:rPr>
          <w:rFonts w:hint="eastAsia"/>
          <w:sz w:val="32"/>
          <w:szCs w:val="32"/>
        </w:rPr>
        <w:t>个，实施项目</w:t>
      </w:r>
      <w:r>
        <w:rPr>
          <w:rFonts w:ascii="Times New Roman" w:hAnsi="Times New Roman" w:cs="Times New Roman"/>
          <w:sz w:val="32"/>
          <w:szCs w:val="32"/>
        </w:rPr>
        <w:t>3</w:t>
      </w:r>
      <w:r>
        <w:rPr>
          <w:rFonts w:hint="eastAsia"/>
          <w:sz w:val="32"/>
          <w:szCs w:val="32"/>
        </w:rPr>
        <w:t>个，完成项目</w:t>
      </w:r>
      <w:r>
        <w:rPr>
          <w:rFonts w:ascii="Times New Roman" w:hAnsi="Times New Roman" w:cs="Times New Roman"/>
          <w:sz w:val="32"/>
          <w:szCs w:val="32"/>
        </w:rPr>
        <w:t>3</w:t>
      </w:r>
      <w:r>
        <w:rPr>
          <w:rFonts w:hint="eastAsia"/>
          <w:sz w:val="32"/>
          <w:szCs w:val="32"/>
        </w:rPr>
        <w:t>个，项目支出总金额</w:t>
      </w:r>
      <w:r>
        <w:rPr>
          <w:rFonts w:ascii="Times New Roman" w:hAnsi="Times New Roman" w:cs="Times New Roman"/>
          <w:sz w:val="32"/>
          <w:szCs w:val="32"/>
        </w:rPr>
        <w:t>114.49</w:t>
      </w:r>
      <w:r>
        <w:rPr>
          <w:rFonts w:hint="eastAsia"/>
          <w:sz w:val="32"/>
          <w:szCs w:val="32"/>
        </w:rPr>
        <w:t>万元。资金来源包括年初结转结余</w:t>
      </w:r>
      <w:r>
        <w:rPr>
          <w:rFonts w:ascii="Times New Roman" w:hAnsi="Times New Roman" w:cs="Times New Roman"/>
          <w:sz w:val="32"/>
          <w:szCs w:val="32"/>
        </w:rPr>
        <w:t>0.00</w:t>
      </w:r>
      <w:r>
        <w:rPr>
          <w:rFonts w:hint="eastAsia"/>
          <w:sz w:val="32"/>
          <w:szCs w:val="32"/>
        </w:rPr>
        <w:t>万元，本年财政拨款金额</w:t>
      </w:r>
      <w:r>
        <w:rPr>
          <w:rFonts w:ascii="Times New Roman" w:hAnsi="Times New Roman" w:cs="Times New Roman"/>
          <w:sz w:val="32"/>
          <w:szCs w:val="32"/>
        </w:rPr>
        <w:t>114.49</w:t>
      </w:r>
      <w:r>
        <w:rPr>
          <w:rFonts w:hint="eastAsia"/>
          <w:sz w:val="32"/>
          <w:szCs w:val="32"/>
        </w:rPr>
        <w:t>万元，本年其他资金</w:t>
      </w:r>
      <w:r>
        <w:rPr>
          <w:rFonts w:ascii="Times New Roman" w:hAnsi="Times New Roman" w:cs="Times New Roman"/>
          <w:sz w:val="32"/>
          <w:szCs w:val="32"/>
        </w:rPr>
        <w:t>0.00</w:t>
      </w:r>
      <w:r>
        <w:rPr>
          <w:rFonts w:hint="eastAsia"/>
          <w:sz w:val="32"/>
          <w:szCs w:val="32"/>
        </w:rPr>
        <w:t>万元。</w:t>
      </w:r>
    </w:p>
    <w:p>
      <w:pPr>
        <w:spacing w:before="100" w:beforeAutospacing="1" w:after="100" w:afterAutospacing="1" w:line="600" w:lineRule="atLeast"/>
        <w:ind w:firstLine="643"/>
        <w:jc w:val="both"/>
      </w:pPr>
      <w:r>
        <w:rPr>
          <w:rFonts w:hint="eastAsia" w:ascii="黑体" w:hAnsi="黑体" w:eastAsia="黑体"/>
          <w:b/>
          <w:bCs/>
          <w:color w:val="000000"/>
          <w:sz w:val="32"/>
          <w:szCs w:val="32"/>
        </w:rPr>
        <w:t>十二、</w:t>
      </w:r>
      <w:r>
        <w:rPr>
          <w:rFonts w:hint="eastAsia" w:ascii="黑体" w:hAnsi="黑体" w:eastAsia="黑体"/>
          <w:b/>
          <w:bCs/>
          <w:sz w:val="32"/>
          <w:szCs w:val="32"/>
        </w:rPr>
        <w:t>机构运行经费支出决算情况说明</w:t>
      </w:r>
    </w:p>
    <w:p>
      <w:pPr>
        <w:spacing w:before="100" w:beforeAutospacing="1" w:after="100" w:afterAutospacing="1" w:line="560" w:lineRule="atLeast"/>
        <w:ind w:firstLine="640"/>
        <w:jc w:val="both"/>
        <w:rPr>
          <w:sz w:val="32"/>
          <w:szCs w:val="32"/>
        </w:rPr>
      </w:pPr>
      <w:r>
        <w:rPr>
          <w:rFonts w:hint="eastAsia"/>
          <w:sz w:val="32"/>
          <w:szCs w:val="32"/>
          <w:lang w:eastAsia="zh-CN"/>
        </w:rPr>
        <w:t>包头市人民政府国有资产监督管理委员会（部门）</w:t>
      </w:r>
      <w:r>
        <w:rPr>
          <w:rFonts w:hint="eastAsia"/>
          <w:sz w:val="32"/>
          <w:szCs w:val="32"/>
        </w:rPr>
        <w:t>单位2022年度机构运行经费支出决算</w:t>
      </w:r>
      <w:r>
        <w:rPr>
          <w:rFonts w:ascii="Times New Roman" w:hAnsi="Times New Roman" w:cs="Times New Roman"/>
          <w:sz w:val="32"/>
          <w:szCs w:val="32"/>
          <w:u w:val="single"/>
        </w:rPr>
        <w:t>26.67</w:t>
      </w:r>
      <w:r>
        <w:rPr>
          <w:rFonts w:hint="eastAsia"/>
          <w:sz w:val="32"/>
          <w:szCs w:val="32"/>
        </w:rPr>
        <w:t>万元。比上年决算相比，减少</w:t>
      </w:r>
      <w:r>
        <w:rPr>
          <w:rFonts w:ascii="Times New Roman" w:hAnsi="Times New Roman" w:cs="Times New Roman"/>
          <w:sz w:val="32"/>
          <w:szCs w:val="32"/>
          <w:u w:val="single"/>
        </w:rPr>
        <w:t>39.53</w:t>
      </w:r>
      <w:r>
        <w:rPr>
          <w:rFonts w:hint="eastAsia"/>
          <w:sz w:val="32"/>
          <w:szCs w:val="32"/>
        </w:rPr>
        <w:t>万元，减少</w:t>
      </w:r>
      <w:r>
        <w:rPr>
          <w:rFonts w:ascii="Times New Roman" w:hAnsi="Times New Roman" w:cs="Times New Roman"/>
          <w:sz w:val="32"/>
          <w:szCs w:val="32"/>
          <w:u w:val="single"/>
        </w:rPr>
        <w:t>59.72</w:t>
      </w:r>
      <w:r>
        <w:rPr>
          <w:rFonts w:hint="eastAsia"/>
          <w:sz w:val="32"/>
          <w:szCs w:val="32"/>
        </w:rPr>
        <w:t>%，变动原因：根据全年工作计划安排，据实发生运行经费。</w:t>
      </w:r>
    </w:p>
    <w:p>
      <w:pPr>
        <w:spacing w:before="100" w:beforeAutospacing="1" w:after="100" w:afterAutospacing="1" w:line="560" w:lineRule="atLeast"/>
        <w:ind w:firstLine="640"/>
        <w:jc w:val="both"/>
      </w:pPr>
      <w:r>
        <w:rPr>
          <w:rFonts w:hint="eastAsia"/>
          <w:sz w:val="32"/>
          <w:szCs w:val="32"/>
        </w:rPr>
        <w:t>包头市国资国企改革发展促进中心单位2022年度机构运行经费支出决算</w:t>
      </w:r>
      <w:r>
        <w:rPr>
          <w:rFonts w:ascii="Times New Roman" w:hAnsi="Times New Roman" w:cs="Times New Roman"/>
          <w:sz w:val="32"/>
          <w:szCs w:val="32"/>
        </w:rPr>
        <w:t>4.82</w:t>
      </w:r>
      <w:r>
        <w:rPr>
          <w:rFonts w:hint="eastAsia"/>
          <w:sz w:val="32"/>
          <w:szCs w:val="32"/>
        </w:rPr>
        <w:t>万元。比上年决算相比，增加</w:t>
      </w:r>
      <w:r>
        <w:rPr>
          <w:rFonts w:ascii="Times New Roman" w:hAnsi="Times New Roman" w:cs="Times New Roman"/>
          <w:sz w:val="32"/>
          <w:szCs w:val="32"/>
        </w:rPr>
        <w:t>4.82</w:t>
      </w:r>
      <w:r>
        <w:rPr>
          <w:rFonts w:hint="eastAsia"/>
          <w:sz w:val="32"/>
          <w:szCs w:val="32"/>
        </w:rPr>
        <w:t>万元，增长</w:t>
      </w:r>
      <w:r>
        <w:rPr>
          <w:rFonts w:ascii="Times New Roman" w:hAnsi="Times New Roman" w:cs="Times New Roman"/>
          <w:sz w:val="32"/>
          <w:szCs w:val="32"/>
        </w:rPr>
        <w:t>0.00</w:t>
      </w:r>
      <w:r>
        <w:rPr>
          <w:rFonts w:hint="eastAsia"/>
          <w:sz w:val="32"/>
          <w:szCs w:val="32"/>
        </w:rPr>
        <w:t>%，变动原因：单位上年新成立，上年无支出。</w:t>
      </w:r>
    </w:p>
    <w:p>
      <w:pPr>
        <w:spacing w:before="100" w:beforeAutospacing="1" w:after="100" w:afterAutospacing="1" w:line="600" w:lineRule="atLeast"/>
        <w:ind w:firstLine="643" w:firstLineChars="200"/>
        <w:jc w:val="both"/>
      </w:pPr>
      <w:r>
        <w:rPr>
          <w:rFonts w:hint="eastAsia" w:ascii="黑体" w:hAnsi="黑体" w:eastAsia="黑体"/>
          <w:b/>
          <w:bCs/>
          <w:color w:val="000000"/>
          <w:sz w:val="32"/>
          <w:szCs w:val="32"/>
        </w:rPr>
        <w:t>十三、</w:t>
      </w:r>
      <w:r>
        <w:rPr>
          <w:rFonts w:hint="eastAsia" w:ascii="黑体" w:hAnsi="黑体" w:eastAsia="黑体"/>
          <w:b/>
          <w:bCs/>
          <w:sz w:val="32"/>
          <w:szCs w:val="32"/>
        </w:rPr>
        <w:t>政府采购支出决算情况说明</w:t>
      </w:r>
    </w:p>
    <w:p>
      <w:pPr>
        <w:spacing w:line="560" w:lineRule="exact"/>
        <w:ind w:firstLine="640"/>
        <w:jc w:val="both"/>
      </w:pPr>
      <w:r>
        <w:rPr>
          <w:rFonts w:hint="eastAsia"/>
          <w:sz w:val="32"/>
          <w:szCs w:val="32"/>
          <w:lang w:eastAsia="zh-CN"/>
        </w:rPr>
        <w:t>包头市人民政府国有资产监督管理委员会（部门）</w:t>
      </w:r>
      <w:r>
        <w:rPr>
          <w:rFonts w:hint="eastAsia"/>
          <w:sz w:val="32"/>
          <w:szCs w:val="32"/>
        </w:rPr>
        <w:t>单位2022年度政府采购支出总额</w:t>
      </w:r>
      <w:r>
        <w:rPr>
          <w:rFonts w:ascii="Times New Roman" w:hAnsi="Times New Roman" w:cs="Times New Roman"/>
          <w:sz w:val="32"/>
          <w:szCs w:val="32"/>
          <w:u w:val="single"/>
        </w:rPr>
        <w:t>0.00</w:t>
      </w:r>
      <w:r>
        <w:rPr>
          <w:rFonts w:hint="eastAsia"/>
          <w:sz w:val="32"/>
          <w:szCs w:val="32"/>
        </w:rPr>
        <w:t>万元，其中：政府采购货物支出</w:t>
      </w:r>
      <w:r>
        <w:rPr>
          <w:rFonts w:ascii="Times New Roman" w:hAnsi="Times New Roman" w:cs="Times New Roman"/>
          <w:sz w:val="32"/>
          <w:szCs w:val="32"/>
          <w:u w:val="single"/>
        </w:rPr>
        <w:t>0.00</w:t>
      </w:r>
      <w:r>
        <w:rPr>
          <w:rFonts w:hint="eastAsia"/>
          <w:sz w:val="32"/>
          <w:szCs w:val="32"/>
        </w:rPr>
        <w:t>万元、政府采购工程支出</w:t>
      </w:r>
      <w:r>
        <w:rPr>
          <w:rFonts w:ascii="Times New Roman" w:hAnsi="Times New Roman" w:cs="Times New Roman"/>
          <w:sz w:val="32"/>
          <w:szCs w:val="32"/>
          <w:u w:val="single"/>
        </w:rPr>
        <w:t>0.00</w:t>
      </w:r>
      <w:r>
        <w:rPr>
          <w:rFonts w:hint="eastAsia"/>
          <w:sz w:val="32"/>
          <w:szCs w:val="32"/>
        </w:rPr>
        <w:t>万元、政府采购服务支出</w:t>
      </w:r>
      <w:r>
        <w:rPr>
          <w:rFonts w:ascii="Times New Roman" w:hAnsi="Times New Roman" w:cs="Times New Roman"/>
          <w:sz w:val="32"/>
          <w:szCs w:val="32"/>
          <w:u w:val="single"/>
        </w:rPr>
        <w:t>0.00</w:t>
      </w:r>
      <w:r>
        <w:rPr>
          <w:rFonts w:hint="eastAsia"/>
          <w:sz w:val="32"/>
          <w:szCs w:val="32"/>
        </w:rPr>
        <w:t>万元。</w:t>
      </w:r>
      <w:r>
        <w:rPr>
          <w:rFonts w:hint="eastAsia" w:cs="仿宋_GB2312"/>
          <w:kern w:val="2"/>
          <w:sz w:val="32"/>
          <w:szCs w:val="32"/>
        </w:rPr>
        <w:t>政府采购授予中小企业合同金额</w:t>
      </w:r>
      <w:r>
        <w:rPr>
          <w:rFonts w:ascii="Times New Roman" w:hAnsi="Times New Roman"/>
          <w:kern w:val="2"/>
          <w:sz w:val="32"/>
          <w:szCs w:val="32"/>
          <w:u w:val="single"/>
        </w:rPr>
        <w:t>0</w:t>
      </w:r>
      <w:r>
        <w:rPr>
          <w:rFonts w:hint="eastAsia" w:cs="仿宋_GB2312"/>
          <w:kern w:val="2"/>
          <w:sz w:val="32"/>
          <w:szCs w:val="32"/>
        </w:rPr>
        <w:t>万元，占政府采购支出总额的</w:t>
      </w:r>
      <w:r>
        <w:rPr>
          <w:rFonts w:ascii="Times New Roman" w:hAnsi="Times New Roman"/>
          <w:kern w:val="2"/>
          <w:sz w:val="32"/>
          <w:szCs w:val="32"/>
          <w:u w:val="single"/>
        </w:rPr>
        <w:t>0</w:t>
      </w:r>
      <w:r>
        <w:rPr>
          <w:rFonts w:hint="eastAsia" w:cs="仿宋_GB2312"/>
          <w:kern w:val="2"/>
          <w:sz w:val="32"/>
          <w:szCs w:val="32"/>
        </w:rPr>
        <w:t>%，其中：授予小微企业合同金额</w:t>
      </w:r>
      <w:r>
        <w:rPr>
          <w:rFonts w:ascii="Times New Roman" w:hAnsi="Times New Roman"/>
          <w:kern w:val="2"/>
          <w:sz w:val="32"/>
          <w:szCs w:val="32"/>
          <w:u w:val="single"/>
        </w:rPr>
        <w:t>0</w:t>
      </w:r>
      <w:r>
        <w:rPr>
          <w:rFonts w:hint="eastAsia" w:cs="仿宋_GB2312"/>
          <w:kern w:val="2"/>
          <w:sz w:val="32"/>
          <w:szCs w:val="32"/>
        </w:rPr>
        <w:t>万元，占政府采购支出总额的</w:t>
      </w:r>
      <w:r>
        <w:rPr>
          <w:rFonts w:ascii="Times New Roman" w:hAnsi="Times New Roman"/>
          <w:kern w:val="2"/>
          <w:sz w:val="32"/>
          <w:szCs w:val="32"/>
          <w:u w:val="single"/>
        </w:rPr>
        <w:t>0</w:t>
      </w:r>
      <w:r>
        <w:rPr>
          <w:rFonts w:hint="eastAsia" w:cs="仿宋_GB2312"/>
          <w:kern w:val="2"/>
          <w:sz w:val="32"/>
          <w:szCs w:val="32"/>
        </w:rPr>
        <w:t>%；</w:t>
      </w:r>
      <w:r>
        <w:rPr>
          <w:rFonts w:hint="eastAsia" w:cs="仿宋_GB2312"/>
          <w:color w:val="000000"/>
          <w:sz w:val="32"/>
          <w:szCs w:val="32"/>
        </w:rPr>
        <w:t>货物采购授予中小企业合同金额占货物支出金额的</w:t>
      </w:r>
      <w:r>
        <w:rPr>
          <w:rFonts w:ascii="Times New Roman" w:hAnsi="Times New Roman"/>
          <w:kern w:val="2"/>
          <w:sz w:val="32"/>
          <w:szCs w:val="32"/>
          <w:u w:val="single"/>
        </w:rPr>
        <w:t xml:space="preserve">0 </w:t>
      </w:r>
      <w:r>
        <w:rPr>
          <w:rFonts w:hint="eastAsia" w:hAnsi="Times New Roman" w:cs="仿宋_GB2312"/>
          <w:color w:val="000000"/>
          <w:sz w:val="32"/>
          <w:szCs w:val="32"/>
        </w:rPr>
        <w:t xml:space="preserve"> </w:t>
      </w:r>
      <w:r>
        <w:rPr>
          <w:rFonts w:hint="eastAsia" w:cs="仿宋_GB2312"/>
          <w:color w:val="000000"/>
          <w:sz w:val="32"/>
          <w:szCs w:val="32"/>
        </w:rPr>
        <w:t>%，工程采购授予中小企业合同金额占工程支出金额的</w:t>
      </w:r>
      <w:r>
        <w:rPr>
          <w:rFonts w:ascii="Times New Roman" w:hAnsi="Times New Roman"/>
          <w:kern w:val="2"/>
          <w:sz w:val="32"/>
          <w:szCs w:val="32"/>
          <w:u w:val="single"/>
        </w:rPr>
        <w:t>0</w:t>
      </w:r>
      <w:r>
        <w:rPr>
          <w:rFonts w:hint="eastAsia" w:cs="仿宋_GB2312"/>
          <w:color w:val="000000"/>
          <w:sz w:val="32"/>
          <w:szCs w:val="32"/>
        </w:rPr>
        <w:t>%，服务采购授予中小企业合同金额占服务支出金额的</w:t>
      </w:r>
      <w:r>
        <w:rPr>
          <w:rFonts w:ascii="Times New Roman" w:hAnsi="Times New Roman"/>
          <w:kern w:val="2"/>
          <w:sz w:val="32"/>
          <w:szCs w:val="32"/>
          <w:u w:val="single"/>
        </w:rPr>
        <w:t>0</w:t>
      </w:r>
      <w:r>
        <w:rPr>
          <w:rFonts w:hint="eastAsia" w:cs="仿宋_GB2312"/>
          <w:color w:val="000000"/>
          <w:sz w:val="32"/>
          <w:szCs w:val="32"/>
        </w:rPr>
        <w:t>%。</w:t>
      </w:r>
      <w:r>
        <w:rPr>
          <w:rFonts w:hint="eastAsia"/>
        </w:rPr>
        <w:t xml:space="preserve"> </w:t>
      </w:r>
    </w:p>
    <w:p>
      <w:pPr>
        <w:spacing w:before="100" w:beforeAutospacing="1" w:after="100" w:afterAutospacing="1" w:line="560" w:lineRule="atLeast"/>
        <w:ind w:firstLine="640"/>
        <w:jc w:val="both"/>
      </w:pPr>
      <w:r>
        <w:rPr>
          <w:rFonts w:hint="eastAsia"/>
          <w:sz w:val="32"/>
          <w:szCs w:val="32"/>
        </w:rPr>
        <w:t>包头市国资国企改革发展促进中心单位2022年度政府采购支出总额</w:t>
      </w:r>
      <w:r>
        <w:rPr>
          <w:rFonts w:ascii="Times New Roman" w:hAnsi="Times New Roman" w:cs="Times New Roman"/>
          <w:sz w:val="32"/>
          <w:szCs w:val="32"/>
        </w:rPr>
        <w:t>2.95</w:t>
      </w:r>
      <w:r>
        <w:rPr>
          <w:rFonts w:hint="eastAsia"/>
          <w:sz w:val="32"/>
          <w:szCs w:val="32"/>
        </w:rPr>
        <w:t>万元，其中：政府采购货物支出</w:t>
      </w:r>
      <w:r>
        <w:rPr>
          <w:rFonts w:ascii="Times New Roman" w:hAnsi="Times New Roman" w:cs="Times New Roman"/>
          <w:sz w:val="32"/>
          <w:szCs w:val="32"/>
        </w:rPr>
        <w:t>2.95</w:t>
      </w:r>
      <w:r>
        <w:rPr>
          <w:rFonts w:hint="eastAsia"/>
          <w:sz w:val="32"/>
          <w:szCs w:val="32"/>
        </w:rPr>
        <w:t>万元、政府采购工程支出</w:t>
      </w:r>
      <w:r>
        <w:rPr>
          <w:rFonts w:ascii="Times New Roman" w:hAnsi="Times New Roman" w:cs="Times New Roman"/>
          <w:sz w:val="32"/>
          <w:szCs w:val="32"/>
        </w:rPr>
        <w:t>0.00</w:t>
      </w:r>
      <w:r>
        <w:rPr>
          <w:rFonts w:hint="eastAsia"/>
          <w:sz w:val="32"/>
          <w:szCs w:val="32"/>
        </w:rPr>
        <w:t>万元、政府采购服务支出</w:t>
      </w:r>
      <w:r>
        <w:rPr>
          <w:rFonts w:ascii="Times New Roman" w:hAnsi="Times New Roman" w:cs="Times New Roman"/>
          <w:sz w:val="32"/>
          <w:szCs w:val="32"/>
        </w:rPr>
        <w:t>0.00</w:t>
      </w:r>
      <w:r>
        <w:rPr>
          <w:rFonts w:hint="eastAsia"/>
          <w:sz w:val="32"/>
          <w:szCs w:val="32"/>
        </w:rPr>
        <w:t>万元。授予中小企业合同金额</w:t>
      </w:r>
      <w:r>
        <w:rPr>
          <w:rFonts w:ascii="Times New Roman" w:hAnsi="Times New Roman" w:cs="Times New Roman"/>
          <w:sz w:val="32"/>
          <w:szCs w:val="32"/>
        </w:rPr>
        <w:t>0.00</w:t>
      </w:r>
      <w:r>
        <w:rPr>
          <w:rFonts w:hint="eastAsia"/>
          <w:sz w:val="32"/>
          <w:szCs w:val="32"/>
        </w:rPr>
        <w:t>万元，占政府采购支出总额的</w:t>
      </w:r>
      <w:r>
        <w:rPr>
          <w:rFonts w:ascii="Times New Roman" w:hAnsi="Times New Roman" w:cs="Times New Roman"/>
          <w:sz w:val="32"/>
          <w:szCs w:val="32"/>
        </w:rPr>
        <w:t>0</w:t>
      </w:r>
      <w:r>
        <w:rPr>
          <w:rFonts w:hint="eastAsia"/>
          <w:sz w:val="32"/>
          <w:szCs w:val="32"/>
        </w:rPr>
        <w:t>%，其中：授予小微企业合同金额</w:t>
      </w:r>
      <w:r>
        <w:rPr>
          <w:rFonts w:ascii="Times New Roman" w:hAnsi="Times New Roman" w:cs="Times New Roman"/>
          <w:sz w:val="32"/>
          <w:szCs w:val="32"/>
        </w:rPr>
        <w:t>0.00</w:t>
      </w:r>
      <w:r>
        <w:rPr>
          <w:rFonts w:hint="eastAsia"/>
          <w:sz w:val="32"/>
          <w:szCs w:val="32"/>
        </w:rPr>
        <w:t>万元，占授予中小企业合同金额的</w:t>
      </w:r>
      <w:r>
        <w:rPr>
          <w:rFonts w:ascii="Times New Roman" w:hAnsi="Times New Roman" w:cs="Times New Roman"/>
          <w:sz w:val="32"/>
          <w:szCs w:val="32"/>
        </w:rPr>
        <w:t xml:space="preserve"> 0 </w:t>
      </w:r>
      <w:r>
        <w:rPr>
          <w:rFonts w:hint="eastAsia"/>
          <w:sz w:val="32"/>
          <w:szCs w:val="32"/>
        </w:rPr>
        <w:t>%；</w:t>
      </w:r>
      <w:r>
        <w:rPr>
          <w:rFonts w:hint="eastAsia"/>
          <w:color w:val="000000"/>
          <w:sz w:val="32"/>
          <w:szCs w:val="32"/>
        </w:rPr>
        <w:t>货物采购授予中小企业合同金额占货物支出合同金额的</w:t>
      </w:r>
      <w:r>
        <w:rPr>
          <w:rFonts w:ascii="Times New Roman" w:hAnsi="Times New Roman" w:cs="Times New Roman"/>
          <w:sz w:val="32"/>
          <w:szCs w:val="32"/>
        </w:rPr>
        <w:t>0</w:t>
      </w:r>
      <w:r>
        <w:rPr>
          <w:rFonts w:hint="eastAsia"/>
          <w:color w:val="000000"/>
          <w:sz w:val="32"/>
          <w:szCs w:val="32"/>
        </w:rPr>
        <w:t xml:space="preserve"> %，工程采购授予中小企业合同金额占工程支出合同金额的</w:t>
      </w:r>
      <w:r>
        <w:rPr>
          <w:rFonts w:ascii="Times New Roman" w:hAnsi="Times New Roman" w:cs="Times New Roman"/>
          <w:sz w:val="32"/>
          <w:szCs w:val="32"/>
        </w:rPr>
        <w:t xml:space="preserve"> 0   </w:t>
      </w:r>
      <w:r>
        <w:rPr>
          <w:rFonts w:hint="eastAsia"/>
          <w:color w:val="000000"/>
          <w:sz w:val="32"/>
          <w:szCs w:val="32"/>
        </w:rPr>
        <w:t>%，服务采购授予中小企业合同金额占服务支出合同金额的</w:t>
      </w:r>
      <w:r>
        <w:rPr>
          <w:rFonts w:ascii="Times New Roman" w:hAnsi="Times New Roman" w:cs="Times New Roman"/>
          <w:sz w:val="32"/>
          <w:szCs w:val="32"/>
        </w:rPr>
        <w:t xml:space="preserve">  0  </w:t>
      </w:r>
      <w:r>
        <w:rPr>
          <w:rFonts w:hint="eastAsia"/>
          <w:color w:val="000000"/>
          <w:sz w:val="32"/>
          <w:szCs w:val="32"/>
        </w:rPr>
        <w:t>%。</w:t>
      </w:r>
    </w:p>
    <w:p>
      <w:pPr>
        <w:spacing w:line="560" w:lineRule="exact"/>
        <w:ind w:firstLine="640"/>
        <w:jc w:val="both"/>
        <w:rPr>
          <w:rFonts w:ascii="Times New Roman"/>
          <w:kern w:val="2"/>
          <w:sz w:val="32"/>
          <w:szCs w:val="32"/>
        </w:rPr>
      </w:pPr>
    </w:p>
    <w:p>
      <w:pPr>
        <w:keepNext/>
        <w:spacing w:before="100" w:beforeAutospacing="1" w:after="100" w:afterAutospacing="1" w:line="600" w:lineRule="atLeast"/>
        <w:ind w:firstLine="643"/>
        <w:jc w:val="both"/>
      </w:pPr>
      <w:r>
        <w:rPr>
          <w:rFonts w:hint="eastAsia" w:ascii="黑体" w:hAnsi="黑体" w:eastAsia="黑体"/>
          <w:b/>
          <w:bCs/>
          <w:color w:val="000000"/>
          <w:sz w:val="32"/>
          <w:szCs w:val="32"/>
        </w:rPr>
        <w:t>十四、</w:t>
      </w:r>
      <w:r>
        <w:rPr>
          <w:rFonts w:hint="eastAsia" w:ascii="黑体" w:hAnsi="黑体" w:eastAsia="黑体"/>
          <w:b/>
          <w:bCs/>
          <w:sz w:val="32"/>
          <w:szCs w:val="32"/>
        </w:rPr>
        <w:t>国有资产占用情况说明</w:t>
      </w:r>
    </w:p>
    <w:p>
      <w:pPr>
        <w:spacing w:before="100" w:beforeAutospacing="1" w:after="100" w:afterAutospacing="1" w:line="560" w:lineRule="atLeast"/>
        <w:ind w:firstLine="640"/>
        <w:jc w:val="both"/>
        <w:rPr>
          <w:sz w:val="32"/>
          <w:szCs w:val="32"/>
        </w:rPr>
      </w:pPr>
      <w:r>
        <w:rPr>
          <w:rFonts w:hint="eastAsia"/>
          <w:sz w:val="32"/>
          <w:szCs w:val="32"/>
          <w:lang w:eastAsia="zh-CN"/>
        </w:rPr>
        <w:t>包头市人民政府国有资产监督管理委员会（部门）</w:t>
      </w:r>
      <w:r>
        <w:rPr>
          <w:rFonts w:hint="eastAsia"/>
          <w:sz w:val="32"/>
          <w:szCs w:val="32"/>
        </w:rPr>
        <w:t>单位截至</w:t>
      </w:r>
      <w:r>
        <w:rPr>
          <w:rFonts w:ascii="Times New Roman" w:hAnsi="Times New Roman" w:cs="Times New Roman"/>
          <w:sz w:val="32"/>
          <w:szCs w:val="32"/>
        </w:rPr>
        <w:t>2022</w:t>
      </w:r>
      <w:r>
        <w:rPr>
          <w:rFonts w:hint="eastAsia"/>
          <w:sz w:val="32"/>
          <w:szCs w:val="32"/>
        </w:rPr>
        <w:t>年</w:t>
      </w:r>
      <w:r>
        <w:rPr>
          <w:rFonts w:ascii="Times New Roman" w:hAnsi="Times New Roman" w:cs="Times New Roman"/>
          <w:sz w:val="32"/>
          <w:szCs w:val="32"/>
        </w:rPr>
        <w:t>12</w:t>
      </w:r>
      <w:r>
        <w:rPr>
          <w:rFonts w:hint="eastAsia"/>
          <w:sz w:val="32"/>
          <w:szCs w:val="32"/>
        </w:rPr>
        <w:t>月</w:t>
      </w:r>
      <w:r>
        <w:rPr>
          <w:rFonts w:ascii="Times New Roman" w:hAnsi="Times New Roman" w:cs="Times New Roman"/>
          <w:sz w:val="32"/>
          <w:szCs w:val="32"/>
        </w:rPr>
        <w:t>31</w:t>
      </w:r>
      <w:r>
        <w:rPr>
          <w:rFonts w:hint="eastAsia"/>
          <w:sz w:val="32"/>
          <w:szCs w:val="32"/>
        </w:rPr>
        <w:t>日，本单位共有车辆</w:t>
      </w:r>
      <w:r>
        <w:rPr>
          <w:rFonts w:ascii="Times New Roman" w:hAnsi="Times New Roman" w:cs="Times New Roman"/>
          <w:sz w:val="32"/>
          <w:szCs w:val="32"/>
          <w:u w:val="single"/>
        </w:rPr>
        <w:t>1</w:t>
      </w:r>
      <w:r>
        <w:rPr>
          <w:rFonts w:hint="eastAsia"/>
          <w:sz w:val="32"/>
          <w:szCs w:val="32"/>
        </w:rPr>
        <w:t>辆，其中：副部（省）级及以上领导用车</w:t>
      </w:r>
      <w:r>
        <w:rPr>
          <w:rFonts w:ascii="Times New Roman" w:hAnsi="Times New Roman" w:cs="Times New Roman"/>
          <w:sz w:val="32"/>
          <w:szCs w:val="32"/>
          <w:u w:val="single"/>
        </w:rPr>
        <w:t>0</w:t>
      </w:r>
      <w:r>
        <w:rPr>
          <w:rFonts w:hint="eastAsia"/>
          <w:sz w:val="32"/>
          <w:szCs w:val="32"/>
        </w:rPr>
        <w:t>辆、主要领导干部用车</w:t>
      </w:r>
      <w:r>
        <w:rPr>
          <w:rFonts w:ascii="Times New Roman" w:hAnsi="Times New Roman" w:cs="Times New Roman"/>
          <w:sz w:val="32"/>
          <w:szCs w:val="32"/>
          <w:u w:val="single"/>
        </w:rPr>
        <w:t>0</w:t>
      </w:r>
      <w:r>
        <w:rPr>
          <w:rFonts w:hint="eastAsia"/>
          <w:sz w:val="32"/>
          <w:szCs w:val="32"/>
        </w:rPr>
        <w:t>辆、机要通信用车</w:t>
      </w:r>
      <w:r>
        <w:rPr>
          <w:rFonts w:ascii="Times New Roman" w:hAnsi="Times New Roman" w:cs="Times New Roman"/>
          <w:sz w:val="32"/>
          <w:szCs w:val="32"/>
          <w:u w:val="single"/>
        </w:rPr>
        <w:t>1</w:t>
      </w:r>
      <w:r>
        <w:rPr>
          <w:rFonts w:hint="eastAsia"/>
          <w:sz w:val="32"/>
          <w:szCs w:val="32"/>
        </w:rPr>
        <w:t>辆、应急保障用车</w:t>
      </w:r>
      <w:r>
        <w:rPr>
          <w:rFonts w:ascii="Times New Roman" w:hAnsi="Times New Roman" w:cs="Times New Roman"/>
          <w:sz w:val="32"/>
          <w:szCs w:val="32"/>
          <w:u w:val="single"/>
        </w:rPr>
        <w:t>0</w:t>
      </w:r>
      <w:r>
        <w:rPr>
          <w:rFonts w:hint="eastAsia"/>
          <w:sz w:val="32"/>
          <w:szCs w:val="32"/>
        </w:rPr>
        <w:t>辆、执法执勤用车</w:t>
      </w:r>
      <w:r>
        <w:rPr>
          <w:rFonts w:ascii="Times New Roman" w:hAnsi="Times New Roman" w:cs="Times New Roman"/>
          <w:sz w:val="32"/>
          <w:szCs w:val="32"/>
          <w:u w:val="single"/>
        </w:rPr>
        <w:t>0</w:t>
      </w:r>
      <w:r>
        <w:rPr>
          <w:rFonts w:hint="eastAsia"/>
          <w:sz w:val="32"/>
          <w:szCs w:val="32"/>
        </w:rPr>
        <w:t>辆、特种专业技术用车</w:t>
      </w:r>
      <w:r>
        <w:rPr>
          <w:rFonts w:ascii="Times New Roman" w:hAnsi="Times New Roman" w:cs="Times New Roman"/>
          <w:sz w:val="32"/>
          <w:szCs w:val="32"/>
          <w:u w:val="single"/>
        </w:rPr>
        <w:t>0</w:t>
      </w:r>
      <w:r>
        <w:rPr>
          <w:rFonts w:hint="eastAsia"/>
          <w:sz w:val="32"/>
          <w:szCs w:val="32"/>
        </w:rPr>
        <w:t>辆、离退休干部用车</w:t>
      </w:r>
      <w:r>
        <w:rPr>
          <w:rFonts w:ascii="Times New Roman" w:hAnsi="Times New Roman" w:cs="Times New Roman"/>
          <w:sz w:val="32"/>
          <w:szCs w:val="32"/>
          <w:u w:val="single"/>
        </w:rPr>
        <w:t>0</w:t>
      </w:r>
      <w:r>
        <w:rPr>
          <w:rFonts w:hint="eastAsia"/>
          <w:sz w:val="32"/>
          <w:szCs w:val="32"/>
        </w:rPr>
        <w:t>辆，其他用车</w:t>
      </w:r>
      <w:r>
        <w:rPr>
          <w:rFonts w:ascii="Times New Roman" w:hAnsi="Times New Roman" w:cs="Times New Roman"/>
          <w:sz w:val="32"/>
          <w:szCs w:val="32"/>
          <w:u w:val="single"/>
        </w:rPr>
        <w:t>0</w:t>
      </w:r>
      <w:r>
        <w:rPr>
          <w:rFonts w:hint="eastAsia"/>
          <w:sz w:val="32"/>
          <w:szCs w:val="32"/>
        </w:rPr>
        <w:t>辆；单价</w:t>
      </w:r>
      <w:r>
        <w:rPr>
          <w:rFonts w:ascii="Times New Roman" w:hAnsi="Times New Roman" w:cs="Times New Roman"/>
          <w:sz w:val="32"/>
          <w:szCs w:val="32"/>
        </w:rPr>
        <w:t>100</w:t>
      </w:r>
      <w:r>
        <w:rPr>
          <w:rFonts w:hint="eastAsia"/>
          <w:sz w:val="32"/>
          <w:szCs w:val="32"/>
        </w:rPr>
        <w:t>万元（含）以上的设备（不含车辆）</w:t>
      </w:r>
      <w:r>
        <w:rPr>
          <w:rFonts w:ascii="Times New Roman" w:hAnsi="Times New Roman" w:cs="Times New Roman"/>
          <w:sz w:val="32"/>
          <w:szCs w:val="32"/>
          <w:u w:val="single"/>
        </w:rPr>
        <w:t>0</w:t>
      </w:r>
      <w:r>
        <w:rPr>
          <w:rFonts w:hint="eastAsia"/>
          <w:sz w:val="32"/>
          <w:szCs w:val="32"/>
        </w:rPr>
        <w:t>台（套）。</w:t>
      </w:r>
    </w:p>
    <w:p>
      <w:pPr>
        <w:spacing w:before="100" w:beforeAutospacing="1" w:after="100" w:afterAutospacing="1" w:line="560" w:lineRule="atLeast"/>
        <w:ind w:firstLine="640"/>
        <w:jc w:val="both"/>
      </w:pPr>
      <w:r>
        <w:rPr>
          <w:rFonts w:hint="eastAsia"/>
          <w:sz w:val="32"/>
          <w:szCs w:val="32"/>
        </w:rPr>
        <w:t>包头市国资国企改革发展促进中心单位截至</w:t>
      </w:r>
      <w:r>
        <w:rPr>
          <w:rFonts w:ascii="Times New Roman" w:hAnsi="Times New Roman" w:cs="Times New Roman"/>
          <w:sz w:val="32"/>
          <w:szCs w:val="32"/>
        </w:rPr>
        <w:t>2022</w:t>
      </w:r>
      <w:r>
        <w:rPr>
          <w:rFonts w:hint="eastAsia"/>
          <w:sz w:val="32"/>
          <w:szCs w:val="32"/>
        </w:rPr>
        <w:t>年</w:t>
      </w:r>
      <w:r>
        <w:rPr>
          <w:rFonts w:ascii="Times New Roman" w:hAnsi="Times New Roman" w:cs="Times New Roman"/>
          <w:sz w:val="32"/>
          <w:szCs w:val="32"/>
        </w:rPr>
        <w:t>12</w:t>
      </w:r>
      <w:r>
        <w:rPr>
          <w:rFonts w:hint="eastAsia"/>
          <w:sz w:val="32"/>
          <w:szCs w:val="32"/>
        </w:rPr>
        <w:t>月</w:t>
      </w:r>
      <w:r>
        <w:rPr>
          <w:rFonts w:ascii="Times New Roman" w:hAnsi="Times New Roman" w:cs="Times New Roman"/>
          <w:sz w:val="32"/>
          <w:szCs w:val="32"/>
        </w:rPr>
        <w:t>31</w:t>
      </w:r>
      <w:r>
        <w:rPr>
          <w:rFonts w:hint="eastAsia"/>
          <w:sz w:val="32"/>
          <w:szCs w:val="32"/>
        </w:rPr>
        <w:t>日，本单位共有车辆</w:t>
      </w:r>
      <w:r>
        <w:rPr>
          <w:rFonts w:ascii="Times New Roman" w:hAnsi="Times New Roman" w:cs="Times New Roman"/>
          <w:sz w:val="32"/>
          <w:szCs w:val="32"/>
        </w:rPr>
        <w:t>0</w:t>
      </w:r>
      <w:r>
        <w:rPr>
          <w:rFonts w:hint="eastAsia"/>
          <w:sz w:val="32"/>
          <w:szCs w:val="32"/>
        </w:rPr>
        <w:t>辆，其中：副部（省）级及以上领导用车</w:t>
      </w:r>
      <w:r>
        <w:rPr>
          <w:rFonts w:ascii="Times New Roman" w:hAnsi="Times New Roman" w:cs="Times New Roman"/>
          <w:sz w:val="32"/>
          <w:szCs w:val="32"/>
        </w:rPr>
        <w:t>0</w:t>
      </w:r>
      <w:r>
        <w:rPr>
          <w:rFonts w:hint="eastAsia"/>
          <w:sz w:val="32"/>
          <w:szCs w:val="32"/>
        </w:rPr>
        <w:t>辆、主要领导干部用车</w:t>
      </w:r>
      <w:r>
        <w:rPr>
          <w:rFonts w:ascii="Times New Roman" w:hAnsi="Times New Roman" w:cs="Times New Roman"/>
          <w:sz w:val="32"/>
          <w:szCs w:val="32"/>
        </w:rPr>
        <w:t>0</w:t>
      </w:r>
      <w:r>
        <w:rPr>
          <w:rFonts w:hint="eastAsia"/>
          <w:sz w:val="32"/>
          <w:szCs w:val="32"/>
        </w:rPr>
        <w:t>辆、机要通信用车</w:t>
      </w:r>
      <w:r>
        <w:rPr>
          <w:rFonts w:ascii="Times New Roman" w:hAnsi="Times New Roman" w:cs="Times New Roman"/>
          <w:sz w:val="32"/>
          <w:szCs w:val="32"/>
        </w:rPr>
        <w:t>0</w:t>
      </w:r>
      <w:r>
        <w:rPr>
          <w:rFonts w:hint="eastAsia"/>
          <w:sz w:val="32"/>
          <w:szCs w:val="32"/>
        </w:rPr>
        <w:t>辆、应急保障用车</w:t>
      </w:r>
      <w:r>
        <w:rPr>
          <w:rFonts w:ascii="Times New Roman" w:hAnsi="Times New Roman" w:cs="Times New Roman"/>
          <w:sz w:val="32"/>
          <w:szCs w:val="32"/>
        </w:rPr>
        <w:t>0</w:t>
      </w:r>
      <w:r>
        <w:rPr>
          <w:rFonts w:hint="eastAsia"/>
          <w:sz w:val="32"/>
          <w:szCs w:val="32"/>
        </w:rPr>
        <w:t>辆、执法执勤用车</w:t>
      </w:r>
      <w:r>
        <w:rPr>
          <w:rFonts w:ascii="Times New Roman" w:hAnsi="Times New Roman" w:cs="Times New Roman"/>
          <w:sz w:val="32"/>
          <w:szCs w:val="32"/>
        </w:rPr>
        <w:t>0</w:t>
      </w:r>
      <w:r>
        <w:rPr>
          <w:rFonts w:hint="eastAsia"/>
          <w:sz w:val="32"/>
          <w:szCs w:val="32"/>
        </w:rPr>
        <w:t>辆、特种专业技术用车</w:t>
      </w:r>
      <w:r>
        <w:rPr>
          <w:rFonts w:ascii="Times New Roman" w:hAnsi="Times New Roman" w:cs="Times New Roman"/>
          <w:sz w:val="32"/>
          <w:szCs w:val="32"/>
        </w:rPr>
        <w:t>0</w:t>
      </w:r>
      <w:r>
        <w:rPr>
          <w:rFonts w:hint="eastAsia"/>
          <w:sz w:val="32"/>
          <w:szCs w:val="32"/>
        </w:rPr>
        <w:t>辆、离退休干部用车</w:t>
      </w:r>
      <w:r>
        <w:rPr>
          <w:rFonts w:ascii="Times New Roman" w:hAnsi="Times New Roman" w:cs="Times New Roman"/>
          <w:sz w:val="32"/>
          <w:szCs w:val="32"/>
        </w:rPr>
        <w:t>0</w:t>
      </w:r>
      <w:r>
        <w:rPr>
          <w:rFonts w:hint="eastAsia"/>
          <w:sz w:val="32"/>
          <w:szCs w:val="32"/>
        </w:rPr>
        <w:t>辆，其他用车</w:t>
      </w:r>
      <w:r>
        <w:rPr>
          <w:rFonts w:ascii="Times New Roman" w:hAnsi="Times New Roman" w:cs="Times New Roman"/>
          <w:sz w:val="32"/>
          <w:szCs w:val="32"/>
        </w:rPr>
        <w:t>0</w:t>
      </w:r>
      <w:r>
        <w:rPr>
          <w:rFonts w:hint="eastAsia"/>
          <w:sz w:val="32"/>
          <w:szCs w:val="32"/>
        </w:rPr>
        <w:t>辆；单价</w:t>
      </w:r>
      <w:r>
        <w:rPr>
          <w:rFonts w:ascii="Times New Roman" w:hAnsi="Times New Roman" w:cs="Times New Roman"/>
          <w:sz w:val="32"/>
          <w:szCs w:val="32"/>
        </w:rPr>
        <w:t>100</w:t>
      </w:r>
      <w:r>
        <w:rPr>
          <w:rFonts w:hint="eastAsia"/>
          <w:sz w:val="32"/>
          <w:szCs w:val="32"/>
        </w:rPr>
        <w:t>万元（含）以上的设备（不含车辆）</w:t>
      </w:r>
      <w:r>
        <w:rPr>
          <w:rFonts w:ascii="Times New Roman" w:hAnsi="Times New Roman" w:cs="Times New Roman"/>
          <w:sz w:val="32"/>
          <w:szCs w:val="32"/>
        </w:rPr>
        <w:t>0</w:t>
      </w:r>
      <w:r>
        <w:rPr>
          <w:rFonts w:hint="eastAsia"/>
          <w:sz w:val="32"/>
          <w:szCs w:val="32"/>
        </w:rPr>
        <w:t>台（套）。</w:t>
      </w:r>
    </w:p>
    <w:p>
      <w:pPr>
        <w:spacing w:before="100" w:beforeAutospacing="1" w:after="100" w:afterAutospacing="1" w:line="600" w:lineRule="atLeast"/>
        <w:ind w:firstLine="643"/>
        <w:jc w:val="both"/>
      </w:pPr>
      <w:r>
        <w:rPr>
          <w:rFonts w:hint="eastAsia" w:ascii="黑体" w:hAnsi="黑体" w:eastAsia="黑体"/>
          <w:b/>
          <w:bCs/>
          <w:color w:val="000000"/>
          <w:sz w:val="32"/>
          <w:szCs w:val="32"/>
        </w:rPr>
        <w:t>十五、</w:t>
      </w:r>
      <w:r>
        <w:rPr>
          <w:rFonts w:hint="eastAsia" w:ascii="黑体" w:hAnsi="黑体" w:eastAsia="黑体"/>
          <w:b/>
          <w:bCs/>
          <w:sz w:val="32"/>
          <w:szCs w:val="32"/>
        </w:rPr>
        <w:t>预算绩效情况说明</w:t>
      </w:r>
    </w:p>
    <w:p>
      <w:pPr>
        <w:spacing w:before="100" w:beforeAutospacing="1" w:after="100" w:afterAutospacing="1"/>
        <w:ind w:firstLine="643"/>
        <w:jc w:val="both"/>
      </w:pPr>
      <w:r>
        <w:rPr>
          <w:rFonts w:hint="eastAsia" w:ascii="楷体" w:hAnsi="楷体" w:eastAsia="楷体"/>
          <w:b/>
          <w:bCs/>
          <w:sz w:val="32"/>
          <w:szCs w:val="32"/>
        </w:rPr>
        <w:t>（一）预算绩效管理工作开展情况。</w:t>
      </w:r>
    </w:p>
    <w:p>
      <w:pPr>
        <w:spacing w:before="100" w:beforeAutospacing="1" w:after="100" w:afterAutospacing="1" w:line="560" w:lineRule="atLeast"/>
        <w:ind w:firstLine="640"/>
        <w:jc w:val="both"/>
      </w:pPr>
      <w:r>
        <w:rPr>
          <w:rFonts w:hint="eastAsia"/>
          <w:sz w:val="32"/>
          <w:szCs w:val="32"/>
          <w:lang w:eastAsia="zh-CN"/>
        </w:rPr>
        <w:t>包头市人民政府国有资产监督管理委员会（部门）</w:t>
      </w:r>
      <w:r>
        <w:rPr>
          <w:rFonts w:hint="eastAsia"/>
          <w:sz w:val="32"/>
          <w:szCs w:val="32"/>
        </w:rPr>
        <w:t>单位根据预算绩效管理要求组织对2022年一般公共预算项目支出全面开展绩效自评，其中一级项目</w:t>
      </w:r>
      <w:r>
        <w:rPr>
          <w:rFonts w:ascii="Times New Roman" w:hAnsi="Times New Roman" w:cs="Times New Roman"/>
          <w:sz w:val="32"/>
          <w:szCs w:val="32"/>
          <w:u w:val="single"/>
        </w:rPr>
        <w:t>0</w:t>
      </w:r>
      <w:r>
        <w:rPr>
          <w:rFonts w:hint="eastAsia"/>
          <w:sz w:val="32"/>
          <w:szCs w:val="32"/>
        </w:rPr>
        <w:t>个，二级项目</w:t>
      </w:r>
      <w:r>
        <w:rPr>
          <w:rFonts w:ascii="Times New Roman" w:hAnsi="Times New Roman" w:cs="Times New Roman"/>
          <w:sz w:val="32"/>
          <w:szCs w:val="32"/>
          <w:u w:val="single"/>
        </w:rPr>
        <w:t>6</w:t>
      </w:r>
      <w:r>
        <w:rPr>
          <w:rFonts w:hint="eastAsia"/>
          <w:sz w:val="32"/>
          <w:szCs w:val="32"/>
        </w:rPr>
        <w:t>个，共涉及资金</w:t>
      </w:r>
      <w:r>
        <w:rPr>
          <w:rFonts w:ascii="Times New Roman" w:hAnsi="Times New Roman" w:cs="Times New Roman"/>
          <w:sz w:val="32"/>
          <w:szCs w:val="32"/>
          <w:u w:val="single"/>
        </w:rPr>
        <w:t>566.75</w:t>
      </w:r>
      <w:r>
        <w:rPr>
          <w:rFonts w:hint="eastAsia"/>
          <w:sz w:val="32"/>
          <w:szCs w:val="32"/>
        </w:rPr>
        <w:t>万元，占一般公共预算项目支出总额的</w:t>
      </w:r>
      <w:r>
        <w:rPr>
          <w:rFonts w:ascii="Times New Roman" w:hAnsi="Times New Roman" w:cs="Times New Roman"/>
          <w:sz w:val="32"/>
          <w:szCs w:val="32"/>
        </w:rPr>
        <w:t>100</w:t>
      </w:r>
      <w:r>
        <w:rPr>
          <w:rFonts w:hint="eastAsia"/>
          <w:sz w:val="32"/>
          <w:szCs w:val="32"/>
        </w:rPr>
        <w:t>%；政府性基金预算项目</w:t>
      </w:r>
      <w:r>
        <w:rPr>
          <w:rFonts w:ascii="Times New Roman" w:hAnsi="Times New Roman" w:cs="Times New Roman"/>
          <w:sz w:val="32"/>
          <w:szCs w:val="32"/>
          <w:u w:val="single"/>
        </w:rPr>
        <w:t>3</w:t>
      </w:r>
      <w:r>
        <w:rPr>
          <w:rFonts w:hint="eastAsia"/>
          <w:sz w:val="32"/>
          <w:szCs w:val="32"/>
        </w:rPr>
        <w:t>个，其中，一级项目</w:t>
      </w:r>
      <w:r>
        <w:rPr>
          <w:rFonts w:ascii="Times New Roman" w:hAnsi="Times New Roman" w:cs="Times New Roman"/>
          <w:sz w:val="32"/>
          <w:szCs w:val="32"/>
          <w:u w:val="single"/>
        </w:rPr>
        <w:t xml:space="preserve"> 0</w:t>
      </w:r>
      <w:r>
        <w:rPr>
          <w:rFonts w:hint="eastAsia"/>
          <w:sz w:val="32"/>
          <w:szCs w:val="32"/>
        </w:rPr>
        <w:t>个，二级项目</w:t>
      </w:r>
      <w:r>
        <w:rPr>
          <w:rFonts w:ascii="Times New Roman" w:hAnsi="Times New Roman" w:cs="Times New Roman"/>
          <w:sz w:val="32"/>
          <w:szCs w:val="32"/>
          <w:u w:val="single"/>
        </w:rPr>
        <w:t>3</w:t>
      </w:r>
      <w:r>
        <w:rPr>
          <w:rFonts w:hint="eastAsia"/>
          <w:sz w:val="32"/>
          <w:szCs w:val="32"/>
        </w:rPr>
        <w:t>个，共涉及资金</w:t>
      </w:r>
      <w:r>
        <w:rPr>
          <w:rFonts w:ascii="Times New Roman" w:hAnsi="Times New Roman" w:cs="Times New Roman"/>
          <w:sz w:val="32"/>
          <w:szCs w:val="32"/>
          <w:u w:val="single"/>
        </w:rPr>
        <w:t>37,000.00</w:t>
      </w:r>
      <w:r>
        <w:rPr>
          <w:rFonts w:hint="eastAsia"/>
          <w:sz w:val="32"/>
          <w:szCs w:val="32"/>
        </w:rPr>
        <w:t>万元，占应纳入绩效自评的政府性基金预算项目支出总额的</w:t>
      </w:r>
      <w:r>
        <w:rPr>
          <w:rFonts w:ascii="Times New Roman" w:hAnsi="Times New Roman" w:cs="Times New Roman"/>
          <w:sz w:val="32"/>
          <w:szCs w:val="32"/>
        </w:rPr>
        <w:t>100</w:t>
      </w:r>
      <w:r>
        <w:rPr>
          <w:rFonts w:hint="eastAsia"/>
          <w:sz w:val="32"/>
          <w:szCs w:val="32"/>
        </w:rPr>
        <w:t>%。</w:t>
      </w:r>
    </w:p>
    <w:p>
      <w:pPr>
        <w:spacing w:before="100" w:beforeAutospacing="1" w:after="100" w:afterAutospacing="1"/>
        <w:ind w:firstLine="643"/>
        <w:jc w:val="both"/>
      </w:pPr>
      <w:r>
        <w:rPr>
          <w:rFonts w:hint="eastAsia" w:ascii="楷体" w:hAnsi="楷体" w:eastAsia="楷体"/>
          <w:b/>
          <w:bCs/>
          <w:sz w:val="32"/>
          <w:szCs w:val="32"/>
        </w:rPr>
        <w:t>（二）单位决算中项目绩效自评结果。</w:t>
      </w:r>
    </w:p>
    <w:p>
      <w:pPr>
        <w:spacing w:before="100" w:beforeAutospacing="1" w:after="100" w:afterAutospacing="1" w:line="560" w:lineRule="atLeast"/>
        <w:ind w:firstLine="640"/>
        <w:jc w:val="both"/>
        <w:rPr>
          <w:rFonts w:cs="仿宋_GB2312"/>
          <w:kern w:val="2"/>
          <w:sz w:val="32"/>
          <w:szCs w:val="32"/>
        </w:rPr>
      </w:pPr>
      <w:r>
        <w:rPr>
          <w:rFonts w:hint="eastAsia"/>
          <w:sz w:val="32"/>
          <w:szCs w:val="32"/>
          <w:lang w:eastAsia="zh-CN"/>
        </w:rPr>
        <w:t>包头市人民政府国有资产监督管理委员会（部门）</w:t>
      </w:r>
      <w:r>
        <w:rPr>
          <w:rFonts w:hint="eastAsia"/>
          <w:sz w:val="32"/>
          <w:szCs w:val="32"/>
        </w:rPr>
        <w:t>单位2022年度在决算中反映</w:t>
      </w:r>
      <w:r>
        <w:rPr>
          <w:rFonts w:ascii="Times New Roman" w:hAnsi="Times New Roman" w:cs="Times New Roman"/>
          <w:sz w:val="32"/>
          <w:szCs w:val="32"/>
          <w:u w:val="single"/>
        </w:rPr>
        <w:t>0</w:t>
      </w:r>
      <w:r>
        <w:rPr>
          <w:rFonts w:hint="eastAsia"/>
          <w:sz w:val="32"/>
          <w:szCs w:val="32"/>
        </w:rPr>
        <w:t>个一般公共预算项目，以及</w:t>
      </w:r>
      <w:r>
        <w:rPr>
          <w:rFonts w:ascii="Times New Roman" w:hAnsi="Times New Roman" w:cs="Times New Roman"/>
          <w:sz w:val="32"/>
          <w:szCs w:val="32"/>
          <w:u w:val="single"/>
        </w:rPr>
        <w:t>0</w:t>
      </w:r>
      <w:r>
        <w:rPr>
          <w:rFonts w:hint="eastAsia"/>
          <w:sz w:val="32"/>
          <w:szCs w:val="32"/>
        </w:rPr>
        <w:t>个政府性基金项目。</w:t>
      </w:r>
      <w:r>
        <w:rPr>
          <w:rFonts w:hint="eastAsia" w:cs="仿宋_GB2312"/>
          <w:kern w:val="2"/>
          <w:sz w:val="32"/>
          <w:szCs w:val="32"/>
        </w:rPr>
        <w:t>共</w:t>
      </w:r>
      <w:r>
        <w:rPr>
          <w:rFonts w:ascii="Times New Roman" w:hAnsi="Times New Roman"/>
          <w:kern w:val="2"/>
          <w:sz w:val="32"/>
          <w:szCs w:val="32"/>
          <w:u w:val="single"/>
        </w:rPr>
        <w:t>5</w:t>
      </w:r>
      <w:r>
        <w:rPr>
          <w:rFonts w:hint="eastAsia" w:cs="仿宋_GB2312"/>
          <w:kern w:val="2"/>
          <w:sz w:val="32"/>
          <w:szCs w:val="32"/>
        </w:rPr>
        <w:t>个项目的绩效自评结果。</w:t>
      </w:r>
    </w:p>
    <w:p>
      <w:pPr>
        <w:spacing w:before="100" w:beforeAutospacing="1" w:after="100" w:afterAutospacing="1" w:line="560" w:lineRule="atLeast"/>
        <w:ind w:firstLine="640"/>
        <w:jc w:val="both"/>
      </w:pPr>
    </w:p>
    <w:p/>
    <w:tbl>
      <w:tblPr>
        <w:tblStyle w:val="15"/>
        <w:tblW w:w="0" w:type="auto"/>
        <w:jc w:val="center"/>
        <w:tblLayout w:type="autofit"/>
        <w:tblCellMar>
          <w:top w:w="0" w:type="dxa"/>
          <w:left w:w="108" w:type="dxa"/>
          <w:bottom w:w="0" w:type="dxa"/>
          <w:right w:w="108" w:type="dxa"/>
        </w:tblCellMar>
      </w:tblPr>
      <w:tblGrid>
        <w:gridCol w:w="1292"/>
        <w:gridCol w:w="1063"/>
        <w:gridCol w:w="428"/>
        <w:gridCol w:w="428"/>
        <w:gridCol w:w="1009"/>
        <w:gridCol w:w="806"/>
        <w:gridCol w:w="806"/>
        <w:gridCol w:w="540"/>
        <w:gridCol w:w="683"/>
        <w:gridCol w:w="1476"/>
      </w:tblGrid>
      <w:tr>
        <w:tblPrEx>
          <w:tblCellMar>
            <w:top w:w="0" w:type="dxa"/>
            <w:left w:w="108" w:type="dxa"/>
            <w:bottom w:w="0" w:type="dxa"/>
            <w:right w:w="108" w:type="dxa"/>
          </w:tblCellMar>
        </w:tblPrEx>
        <w:trPr>
          <w:trHeight w:val="860" w:hRule="atLeast"/>
          <w:jc w:val="center"/>
        </w:trPr>
        <w:tc>
          <w:tcPr>
            <w:tcW w:w="0" w:type="auto"/>
            <w:gridSpan w:val="10"/>
            <w:vAlign w:val="center"/>
          </w:tcPr>
          <w:p>
            <w:pPr>
              <w:spacing w:line="560" w:lineRule="exact"/>
              <w:rPr>
                <w:rFonts w:ascii="方正小标宋简体" w:hAnsi="华文中宋"/>
                <w:bCs/>
                <w:spacing w:val="20"/>
                <w:sz w:val="44"/>
                <w:szCs w:val="44"/>
              </w:rPr>
            </w:pPr>
          </w:p>
          <w:p>
            <w:pPr>
              <w:spacing w:line="560" w:lineRule="exact"/>
              <w:jc w:val="center"/>
              <w:rPr>
                <w:rFonts w:ascii="方正小标宋简体" w:hAnsi="华文中宋"/>
                <w:bCs/>
                <w:sz w:val="44"/>
                <w:szCs w:val="44"/>
              </w:rPr>
            </w:pPr>
            <w:r>
              <w:rPr>
                <w:rFonts w:hint="eastAsia" w:ascii="方正小标宋简体" w:hAnsi="方正小标宋简体"/>
                <w:bCs/>
                <w:spacing w:val="20"/>
                <w:sz w:val="44"/>
                <w:szCs w:val="44"/>
              </w:rPr>
              <w:t>项目支出绩效自评表</w:t>
            </w:r>
          </w:p>
        </w:tc>
      </w:tr>
      <w:tr>
        <w:tblPrEx>
          <w:tblCellMar>
            <w:top w:w="0" w:type="dxa"/>
            <w:left w:w="108" w:type="dxa"/>
            <w:bottom w:w="0" w:type="dxa"/>
            <w:right w:w="108" w:type="dxa"/>
          </w:tblCellMar>
        </w:tblPrEx>
        <w:trPr>
          <w:trHeight w:val="293" w:hRule="atLeast"/>
          <w:jc w:val="center"/>
        </w:trPr>
        <w:tc>
          <w:tcPr>
            <w:tcW w:w="0" w:type="auto"/>
            <w:gridSpan w:val="10"/>
          </w:tcPr>
          <w:p>
            <w:pPr>
              <w:spacing w:line="400" w:lineRule="exact"/>
              <w:jc w:val="center"/>
              <w:rPr>
                <w:rFonts w:ascii="Times New Roman" w:hAnsi="Times New Roman" w:cs="Times New Roman"/>
              </w:rPr>
            </w:pPr>
            <w:r>
              <w:rPr>
                <w:rFonts w:hint="eastAsia" w:ascii="方正楷体简体" w:hAnsi="方正楷体简体"/>
                <w:sz w:val="32"/>
                <w:szCs w:val="32"/>
              </w:rPr>
              <w:t>（</w:t>
            </w:r>
            <w:r>
              <w:rPr>
                <w:rFonts w:ascii="方正楷体简体" w:hAnsi="方正楷体简体"/>
                <w:sz w:val="32"/>
                <w:szCs w:val="32"/>
              </w:rPr>
              <w:t>2022</w:t>
            </w:r>
            <w:r>
              <w:rPr>
                <w:rFonts w:hint="eastAsia" w:ascii="方正楷体简体" w:hAnsi="方正楷体简体"/>
                <w:sz w:val="32"/>
                <w:szCs w:val="32"/>
              </w:rPr>
              <w:t>年度）</w:t>
            </w:r>
          </w:p>
        </w:tc>
      </w:tr>
      <w:tr>
        <w:tblPrEx>
          <w:tblCellMar>
            <w:top w:w="0" w:type="dxa"/>
            <w:left w:w="108" w:type="dxa"/>
            <w:bottom w:w="0" w:type="dxa"/>
            <w:right w:w="108" w:type="dxa"/>
          </w:tblCellMar>
        </w:tblPrEx>
        <w:trPr>
          <w:trHeight w:val="28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项目名称</w:t>
            </w:r>
          </w:p>
        </w:tc>
        <w:tc>
          <w:tcPr>
            <w:tcW w:w="0" w:type="auto"/>
            <w:gridSpan w:val="9"/>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非公经济党组织建设补助资金</w:t>
            </w:r>
          </w:p>
        </w:tc>
      </w:tr>
      <w:tr>
        <w:tblPrEx>
          <w:tblCellMar>
            <w:top w:w="0" w:type="dxa"/>
            <w:left w:w="108" w:type="dxa"/>
            <w:bottom w:w="0" w:type="dxa"/>
            <w:right w:w="108" w:type="dxa"/>
          </w:tblCellMar>
        </w:tblPrEx>
        <w:trPr>
          <w:trHeight w:val="28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主管部门及代码</w:t>
            </w:r>
          </w:p>
        </w:tc>
        <w:tc>
          <w:tcPr>
            <w:tcW w:w="0" w:type="auto"/>
            <w:gridSpan w:val="5"/>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市财政局工交科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实施单位</w:t>
            </w:r>
          </w:p>
        </w:tc>
        <w:tc>
          <w:tcPr>
            <w:tcW w:w="0" w:type="auto"/>
            <w:gridSpan w:val="3"/>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包头市国资委　</w:t>
            </w:r>
          </w:p>
        </w:tc>
      </w:tr>
      <w:tr>
        <w:tblPrEx>
          <w:tblCellMar>
            <w:top w:w="0" w:type="dxa"/>
            <w:left w:w="108" w:type="dxa"/>
            <w:bottom w:w="0" w:type="dxa"/>
            <w:right w:w="108" w:type="dxa"/>
          </w:tblCellMar>
        </w:tblPrEx>
        <w:trPr>
          <w:trHeight w:val="284" w:hRule="atLeast"/>
          <w:jc w:val="center"/>
        </w:trPr>
        <w:tc>
          <w:tcPr>
            <w:tcW w:w="0" w:type="auto"/>
            <w:vMerge w:val="restart"/>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项目资金</w:t>
            </w:r>
            <w:r>
              <w:rPr>
                <w:rFonts w:hint="eastAsia"/>
                <w:sz w:val="18"/>
                <w:szCs w:val="18"/>
              </w:rPr>
              <w:br w:type="textWrapping"/>
            </w:r>
            <w:r>
              <w:rPr>
                <w:rFonts w:hint="eastAsia"/>
                <w:sz w:val="18"/>
                <w:szCs w:val="18"/>
              </w:rPr>
              <w:t>（万元）</w:t>
            </w:r>
          </w:p>
        </w:tc>
        <w:tc>
          <w:tcPr>
            <w:tcW w:w="0" w:type="auto"/>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年初预算数</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全年预算数</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全年执行数</w:t>
            </w:r>
          </w:p>
        </w:tc>
        <w:tc>
          <w:tcPr>
            <w:tcW w:w="5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分值</w:t>
            </w:r>
          </w:p>
        </w:tc>
        <w:tc>
          <w:tcPr>
            <w:tcW w:w="683"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执行率</w:t>
            </w:r>
          </w:p>
        </w:tc>
        <w:tc>
          <w:tcPr>
            <w:tcW w:w="147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得分</w:t>
            </w:r>
          </w:p>
        </w:tc>
      </w:tr>
      <w:tr>
        <w:tblPrEx>
          <w:tblCellMar>
            <w:top w:w="0" w:type="dxa"/>
            <w:left w:w="108" w:type="dxa"/>
            <w:bottom w:w="0" w:type="dxa"/>
            <w:right w:w="108" w:type="dxa"/>
          </w:tblCellMar>
        </w:tblPrEx>
        <w:trPr>
          <w:trHeight w:val="28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gridSpan w:val="2"/>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sz w:val="18"/>
                <w:szCs w:val="18"/>
              </w:rPr>
              <w:t>年度资金总额</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4.57</w:t>
            </w:r>
          </w:p>
        </w:tc>
        <w:tc>
          <w:tcPr>
            <w:tcW w:w="5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w:t>
            </w:r>
          </w:p>
        </w:tc>
        <w:tc>
          <w:tcPr>
            <w:tcW w:w="683"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147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r>
      <w:tr>
        <w:tblPrEx>
          <w:tblCellMar>
            <w:top w:w="0" w:type="dxa"/>
            <w:left w:w="108" w:type="dxa"/>
            <w:bottom w:w="0" w:type="dxa"/>
            <w:right w:w="108" w:type="dxa"/>
          </w:tblCellMar>
        </w:tblPrEx>
        <w:trPr>
          <w:trHeight w:val="28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其中：财政拨款</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xml:space="preserve"> 0</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4.57　</w:t>
            </w:r>
          </w:p>
        </w:tc>
        <w:tc>
          <w:tcPr>
            <w:tcW w:w="5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c>
          <w:tcPr>
            <w:tcW w:w="683"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147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r>
      <w:tr>
        <w:tblPrEx>
          <w:tblCellMar>
            <w:top w:w="0" w:type="dxa"/>
            <w:left w:w="108" w:type="dxa"/>
            <w:bottom w:w="0" w:type="dxa"/>
            <w:right w:w="108" w:type="dxa"/>
          </w:tblCellMar>
        </w:tblPrEx>
        <w:trPr>
          <w:trHeight w:val="28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xml:space="preserve">     其他资金</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5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c>
          <w:tcPr>
            <w:tcW w:w="683"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147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r>
      <w:tr>
        <w:tblPrEx>
          <w:tblCellMar>
            <w:top w:w="0" w:type="dxa"/>
            <w:left w:w="108" w:type="dxa"/>
            <w:bottom w:w="0" w:type="dxa"/>
            <w:right w:w="108" w:type="dxa"/>
          </w:tblCellMar>
        </w:tblPrEx>
        <w:trPr>
          <w:trHeight w:val="284" w:hRule="atLeast"/>
          <w:jc w:val="center"/>
        </w:trPr>
        <w:tc>
          <w:tcPr>
            <w:tcW w:w="0" w:type="auto"/>
            <w:vMerge w:val="restart"/>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年度总体目标</w:t>
            </w:r>
          </w:p>
        </w:tc>
        <w:tc>
          <w:tcPr>
            <w:tcW w:w="0" w:type="auto"/>
            <w:gridSpan w:val="5"/>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预期目标</w:t>
            </w:r>
          </w:p>
        </w:tc>
        <w:tc>
          <w:tcPr>
            <w:tcW w:w="0" w:type="auto"/>
            <w:gridSpan w:val="4"/>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实际完成情况</w:t>
            </w:r>
          </w:p>
        </w:tc>
      </w:tr>
      <w:tr>
        <w:tblPrEx>
          <w:tblCellMar>
            <w:top w:w="0" w:type="dxa"/>
            <w:left w:w="108" w:type="dxa"/>
            <w:bottom w:w="0" w:type="dxa"/>
            <w:right w:w="108" w:type="dxa"/>
          </w:tblCellMar>
        </w:tblPrEx>
        <w:trPr>
          <w:trHeight w:val="21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gridSpan w:val="5"/>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color w:val="000000"/>
                <w:sz w:val="18"/>
                <w:szCs w:val="18"/>
              </w:rPr>
              <w:t>按照组织部文件要求做好党员活动经费保障。</w:t>
            </w:r>
          </w:p>
        </w:tc>
        <w:tc>
          <w:tcPr>
            <w:tcW w:w="0" w:type="auto"/>
            <w:gridSpan w:val="4"/>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color w:val="000000"/>
                <w:sz w:val="18"/>
                <w:szCs w:val="18"/>
              </w:rPr>
              <w:t>按照组织部文件要求做好党员活动经费保障。</w:t>
            </w:r>
          </w:p>
        </w:tc>
      </w:tr>
      <w:tr>
        <w:tblPrEx>
          <w:tblCellMar>
            <w:top w:w="0" w:type="dxa"/>
            <w:left w:w="108" w:type="dxa"/>
            <w:bottom w:w="0" w:type="dxa"/>
            <w:right w:w="108" w:type="dxa"/>
          </w:tblCellMar>
        </w:tblPrEx>
        <w:trPr>
          <w:cantSplit/>
          <w:trHeight w:val="505" w:hRule="atLeast"/>
          <w:jc w:val="center"/>
        </w:trPr>
        <w:tc>
          <w:tcPr>
            <w:tcW w:w="0" w:type="auto"/>
            <w:vMerge w:val="restart"/>
            <w:tcBorders>
              <w:top w:val="nil"/>
              <w:left w:val="single" w:color="auto" w:sz="4" w:space="0"/>
              <w:bottom w:val="single" w:color="auto" w:sz="4" w:space="0"/>
              <w:right w:val="single" w:color="auto" w:sz="4" w:space="0"/>
            </w:tcBorders>
            <w:vAlign w:val="center"/>
          </w:tcPr>
          <w:p>
            <w:pPr>
              <w:spacing w:line="280" w:lineRule="exact"/>
              <w:jc w:val="center"/>
              <w:rPr>
                <w:sz w:val="18"/>
                <w:szCs w:val="18"/>
              </w:rPr>
            </w:pPr>
            <w:r>
              <w:rPr>
                <w:rFonts w:hint="eastAsia"/>
                <w:sz w:val="18"/>
                <w:szCs w:val="18"/>
              </w:rPr>
              <w:t>绩  效  指  标（90）</w:t>
            </w:r>
          </w:p>
        </w:tc>
        <w:tc>
          <w:tcPr>
            <w:tcW w:w="0" w:type="auto"/>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一级指标</w:t>
            </w:r>
          </w:p>
        </w:tc>
        <w:tc>
          <w:tcPr>
            <w:tcW w:w="0" w:type="auto"/>
            <w:gridSpan w:val="2"/>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二级指标</w:t>
            </w:r>
          </w:p>
        </w:tc>
        <w:tc>
          <w:tcPr>
            <w:tcW w:w="0" w:type="auto"/>
            <w:tcBorders>
              <w:top w:val="single" w:color="auto" w:sz="4" w:space="0"/>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三级指标</w:t>
            </w:r>
          </w:p>
        </w:tc>
        <w:tc>
          <w:tcPr>
            <w:tcW w:w="0" w:type="auto"/>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年度指标值</w:t>
            </w:r>
          </w:p>
        </w:tc>
        <w:tc>
          <w:tcPr>
            <w:tcW w:w="0" w:type="auto"/>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实际完成值</w:t>
            </w:r>
          </w:p>
        </w:tc>
        <w:tc>
          <w:tcPr>
            <w:tcW w:w="540" w:type="dxa"/>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分值</w:t>
            </w:r>
          </w:p>
        </w:tc>
        <w:tc>
          <w:tcPr>
            <w:tcW w:w="683" w:type="dxa"/>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得分</w:t>
            </w:r>
          </w:p>
        </w:tc>
        <w:tc>
          <w:tcPr>
            <w:tcW w:w="1475" w:type="dxa"/>
            <w:tcBorders>
              <w:top w:val="single" w:color="auto" w:sz="4" w:space="0"/>
              <w:left w:val="nil"/>
              <w:bottom w:val="single" w:color="auto" w:sz="4" w:space="0"/>
              <w:right w:val="single" w:color="auto" w:sz="4" w:space="0"/>
            </w:tcBorders>
            <w:vAlign w:val="center"/>
          </w:tcPr>
          <w:p>
            <w:pPr>
              <w:spacing w:line="220" w:lineRule="exact"/>
              <w:jc w:val="center"/>
              <w:rPr>
                <w:sz w:val="18"/>
                <w:szCs w:val="18"/>
              </w:rPr>
            </w:pPr>
          </w:p>
        </w:tc>
      </w:tr>
      <w:tr>
        <w:tblPrEx>
          <w:tblCellMar>
            <w:top w:w="0" w:type="dxa"/>
            <w:left w:w="108" w:type="dxa"/>
            <w:bottom w:w="0" w:type="dxa"/>
            <w:right w:w="108" w:type="dxa"/>
          </w:tblCellMar>
        </w:tblPrEx>
        <w:trPr>
          <w:trHeight w:val="53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restart"/>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产出指标（50）</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数量指标</w:t>
            </w:r>
          </w:p>
        </w:tc>
        <w:tc>
          <w:tcPr>
            <w:tcW w:w="0" w:type="auto"/>
            <w:tcBorders>
              <w:top w:val="single" w:color="auto" w:sz="4" w:space="0"/>
              <w:left w:val="nil"/>
              <w:bottom w:val="single" w:color="auto" w:sz="4" w:space="0"/>
              <w:right w:val="single" w:color="auto" w:sz="4" w:space="0"/>
            </w:tcBorders>
            <w:vAlign w:val="center"/>
          </w:tcPr>
          <w:p>
            <w:pPr>
              <w:pStyle w:val="14"/>
              <w:ind w:left="0" w:leftChars="0" w:firstLine="0"/>
              <w:rPr>
                <w:rFonts w:cs="Times New Roman"/>
                <w:sz w:val="18"/>
                <w:szCs w:val="18"/>
              </w:rPr>
            </w:pPr>
            <w:r>
              <w:rPr>
                <w:rFonts w:hint="eastAsia" w:cs="Times New Roman"/>
                <w:sz w:val="18"/>
                <w:szCs w:val="18"/>
              </w:rPr>
              <w:t>资金到位率</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5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15　</w:t>
            </w:r>
          </w:p>
        </w:tc>
        <w:tc>
          <w:tcPr>
            <w:tcW w:w="68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15　</w:t>
            </w:r>
          </w:p>
        </w:tc>
        <w:tc>
          <w:tcPr>
            <w:tcW w:w="1475"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color w:val="000000"/>
                <w:sz w:val="18"/>
                <w:szCs w:val="18"/>
              </w:rPr>
              <w:t>资金到位率=实际到位资金/计划资金*100%</w:t>
            </w:r>
          </w:p>
        </w:tc>
      </w:tr>
      <w:tr>
        <w:tblPrEx>
          <w:tblCellMar>
            <w:top w:w="0" w:type="dxa"/>
            <w:left w:w="108" w:type="dxa"/>
            <w:bottom w:w="0" w:type="dxa"/>
            <w:right w:w="108" w:type="dxa"/>
          </w:tblCellMar>
        </w:tblPrEx>
        <w:trPr>
          <w:trHeight w:val="55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continue"/>
            <w:tcBorders>
              <w:top w:val="nil"/>
              <w:left w:val="nil"/>
              <w:bottom w:val="single" w:color="auto" w:sz="4" w:space="0"/>
              <w:right w:val="single" w:color="auto" w:sz="4" w:space="0"/>
            </w:tcBorders>
            <w:vAlign w:val="center"/>
          </w:tcPr>
          <w:p>
            <w:pPr>
              <w:rPr>
                <w:sz w:val="18"/>
                <w:szCs w:val="18"/>
              </w:rPr>
            </w:pP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质量指标</w:t>
            </w:r>
          </w:p>
        </w:tc>
        <w:tc>
          <w:tcPr>
            <w:tcW w:w="0" w:type="auto"/>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r>
              <w:rPr>
                <w:rFonts w:hint="eastAsia"/>
                <w:sz w:val="18"/>
                <w:szCs w:val="18"/>
              </w:rPr>
              <w:t>预算执行率</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5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c>
          <w:tcPr>
            <w:tcW w:w="68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c>
          <w:tcPr>
            <w:tcW w:w="1475"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color w:val="000000"/>
                <w:sz w:val="18"/>
                <w:szCs w:val="18"/>
              </w:rPr>
              <w:t>资金到位率=实际支出资金/预算总金额*100%</w:t>
            </w:r>
            <w:r>
              <w:rPr>
                <w:rFonts w:hint="eastAsia"/>
                <w:sz w:val="18"/>
                <w:szCs w:val="18"/>
              </w:rPr>
              <w:t>　</w:t>
            </w:r>
          </w:p>
        </w:tc>
      </w:tr>
      <w:tr>
        <w:tblPrEx>
          <w:tblCellMar>
            <w:top w:w="0" w:type="dxa"/>
            <w:left w:w="108" w:type="dxa"/>
            <w:bottom w:w="0" w:type="dxa"/>
            <w:right w:w="108" w:type="dxa"/>
          </w:tblCellMar>
        </w:tblPrEx>
        <w:trPr>
          <w:trHeight w:val="552"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continue"/>
            <w:tcBorders>
              <w:top w:val="nil"/>
              <w:left w:val="nil"/>
              <w:bottom w:val="single" w:color="auto" w:sz="4" w:space="0"/>
              <w:right w:val="single" w:color="auto" w:sz="4" w:space="0"/>
            </w:tcBorders>
            <w:vAlign w:val="center"/>
          </w:tcPr>
          <w:p>
            <w:pPr>
              <w:rPr>
                <w:sz w:val="18"/>
                <w:szCs w:val="18"/>
              </w:rPr>
            </w:pP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时效指标</w:t>
            </w:r>
          </w:p>
        </w:tc>
        <w:tc>
          <w:tcPr>
            <w:tcW w:w="0" w:type="auto"/>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r>
              <w:rPr>
                <w:rFonts w:hint="eastAsia"/>
                <w:sz w:val="18"/>
                <w:szCs w:val="18"/>
              </w:rPr>
              <w:t>年度党员活动经费</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5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15　</w:t>
            </w:r>
          </w:p>
        </w:tc>
        <w:tc>
          <w:tcPr>
            <w:tcW w:w="68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15</w:t>
            </w:r>
          </w:p>
        </w:tc>
        <w:tc>
          <w:tcPr>
            <w:tcW w:w="1475"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sz w:val="18"/>
                <w:szCs w:val="18"/>
              </w:rPr>
              <w:t>按年度目标执行，</w:t>
            </w:r>
            <w:r>
              <w:rPr>
                <w:rFonts w:hint="eastAsia"/>
                <w:color w:val="000000"/>
                <w:sz w:val="18"/>
                <w:szCs w:val="18"/>
              </w:rPr>
              <w:t>好党员活动经费保障。</w:t>
            </w:r>
          </w:p>
        </w:tc>
      </w:tr>
      <w:tr>
        <w:tblPrEx>
          <w:tblCellMar>
            <w:top w:w="0" w:type="dxa"/>
            <w:left w:w="108" w:type="dxa"/>
            <w:bottom w:w="0" w:type="dxa"/>
            <w:right w:w="108" w:type="dxa"/>
          </w:tblCellMar>
        </w:tblPrEx>
        <w:trPr>
          <w:trHeight w:val="559"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continue"/>
            <w:tcBorders>
              <w:top w:val="nil"/>
              <w:left w:val="nil"/>
              <w:bottom w:val="single" w:color="auto" w:sz="4" w:space="0"/>
              <w:right w:val="single" w:color="auto" w:sz="4" w:space="0"/>
            </w:tcBorders>
            <w:vAlign w:val="center"/>
          </w:tcPr>
          <w:p>
            <w:pPr>
              <w:rPr>
                <w:sz w:val="18"/>
                <w:szCs w:val="18"/>
              </w:rPr>
            </w:pP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成本指标</w:t>
            </w:r>
          </w:p>
        </w:tc>
        <w:tc>
          <w:tcPr>
            <w:tcW w:w="0" w:type="auto"/>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r>
              <w:rPr>
                <w:rFonts w:hint="eastAsia"/>
                <w:sz w:val="18"/>
                <w:szCs w:val="18"/>
              </w:rPr>
              <w:t>社保缴费</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5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c>
          <w:tcPr>
            <w:tcW w:w="68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c>
          <w:tcPr>
            <w:tcW w:w="1475"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sz w:val="18"/>
                <w:szCs w:val="18"/>
              </w:rPr>
              <w:t>按照年度预算目标执行</w:t>
            </w:r>
          </w:p>
        </w:tc>
      </w:tr>
      <w:tr>
        <w:tblPrEx>
          <w:tblCellMar>
            <w:top w:w="0" w:type="dxa"/>
            <w:left w:w="108" w:type="dxa"/>
            <w:bottom w:w="0" w:type="dxa"/>
            <w:right w:w="108" w:type="dxa"/>
          </w:tblCellMar>
        </w:tblPrEx>
        <w:trPr>
          <w:trHeight w:val="57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restart"/>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效益指标（30）</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经济效益指标</w:t>
            </w:r>
          </w:p>
        </w:tc>
        <w:tc>
          <w:tcPr>
            <w:tcW w:w="0" w:type="auto"/>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r>
              <w:rPr>
                <w:rFonts w:hint="eastAsia"/>
                <w:sz w:val="18"/>
                <w:szCs w:val="18"/>
              </w:rPr>
              <w:t xml:space="preserve">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xml:space="preserve">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xml:space="preserve"> </w:t>
            </w:r>
          </w:p>
        </w:tc>
        <w:tc>
          <w:tcPr>
            <w:tcW w:w="5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xml:space="preserve"> 　</w:t>
            </w:r>
          </w:p>
        </w:tc>
        <w:tc>
          <w:tcPr>
            <w:tcW w:w="68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xml:space="preserve"> </w:t>
            </w:r>
          </w:p>
        </w:tc>
        <w:tc>
          <w:tcPr>
            <w:tcW w:w="1475"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sz w:val="18"/>
                <w:szCs w:val="18"/>
              </w:rPr>
              <w:t xml:space="preserve"> </w:t>
            </w:r>
          </w:p>
        </w:tc>
      </w:tr>
      <w:tr>
        <w:tblPrEx>
          <w:tblCellMar>
            <w:top w:w="0" w:type="dxa"/>
            <w:left w:w="108" w:type="dxa"/>
            <w:bottom w:w="0" w:type="dxa"/>
            <w:right w:w="108" w:type="dxa"/>
          </w:tblCellMar>
        </w:tblPrEx>
        <w:trPr>
          <w:trHeight w:val="57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continue"/>
            <w:tcBorders>
              <w:top w:val="nil"/>
              <w:left w:val="nil"/>
              <w:bottom w:val="single" w:color="auto" w:sz="4" w:space="0"/>
              <w:right w:val="single" w:color="auto" w:sz="4" w:space="0"/>
            </w:tcBorders>
            <w:vAlign w:val="center"/>
          </w:tcPr>
          <w:p>
            <w:pPr>
              <w:rPr>
                <w:sz w:val="18"/>
                <w:szCs w:val="18"/>
              </w:rPr>
            </w:pP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社会效益指标</w:t>
            </w:r>
          </w:p>
        </w:tc>
        <w:tc>
          <w:tcPr>
            <w:tcW w:w="0" w:type="auto"/>
            <w:tcBorders>
              <w:top w:val="single" w:color="auto" w:sz="4" w:space="0"/>
              <w:left w:val="nil"/>
              <w:bottom w:val="single" w:color="auto" w:sz="4" w:space="0"/>
              <w:right w:val="single" w:color="auto" w:sz="4" w:space="0"/>
            </w:tcBorders>
          </w:tcPr>
          <w:p>
            <w:pPr>
              <w:rPr>
                <w:sz w:val="18"/>
                <w:szCs w:val="18"/>
              </w:rPr>
            </w:pPr>
            <w:r>
              <w:rPr>
                <w:rFonts w:hint="eastAsia"/>
                <w:color w:val="000000"/>
                <w:sz w:val="18"/>
                <w:szCs w:val="18"/>
              </w:rPr>
              <w:t>做好党员经费保障</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5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30</w:t>
            </w:r>
          </w:p>
        </w:tc>
        <w:tc>
          <w:tcPr>
            <w:tcW w:w="68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30</w:t>
            </w:r>
          </w:p>
        </w:tc>
        <w:tc>
          <w:tcPr>
            <w:tcW w:w="1475"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color w:val="000000"/>
                <w:sz w:val="18"/>
                <w:szCs w:val="18"/>
              </w:rPr>
              <w:t>好党员活动经费保障。</w:t>
            </w:r>
          </w:p>
        </w:tc>
      </w:tr>
      <w:tr>
        <w:tblPrEx>
          <w:tblCellMar>
            <w:top w:w="0" w:type="dxa"/>
            <w:left w:w="108" w:type="dxa"/>
            <w:bottom w:w="0" w:type="dxa"/>
            <w:right w:w="108" w:type="dxa"/>
          </w:tblCellMar>
        </w:tblPrEx>
        <w:trPr>
          <w:trHeight w:val="50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continue"/>
            <w:tcBorders>
              <w:top w:val="nil"/>
              <w:left w:val="nil"/>
              <w:bottom w:val="single" w:color="auto" w:sz="4" w:space="0"/>
              <w:right w:val="single" w:color="auto" w:sz="4" w:space="0"/>
            </w:tcBorders>
            <w:vAlign w:val="center"/>
          </w:tcPr>
          <w:p>
            <w:pPr>
              <w:rPr>
                <w:sz w:val="18"/>
                <w:szCs w:val="18"/>
              </w:rPr>
            </w:pP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生态效益指标</w:t>
            </w:r>
          </w:p>
        </w:tc>
        <w:tc>
          <w:tcPr>
            <w:tcW w:w="0" w:type="auto"/>
            <w:tcBorders>
              <w:top w:val="single" w:color="auto" w:sz="4" w:space="0"/>
              <w:left w:val="nil"/>
              <w:bottom w:val="single" w:color="auto" w:sz="4" w:space="0"/>
              <w:right w:val="single" w:color="auto" w:sz="4" w:space="0"/>
            </w:tcBorders>
          </w:tcPr>
          <w:p>
            <w:pPr>
              <w:rPr>
                <w:sz w:val="18"/>
                <w:szCs w:val="18"/>
              </w:rPr>
            </w:pPr>
            <w:r>
              <w:rPr>
                <w:rFonts w:hint="eastAsia"/>
                <w:color w:val="000000"/>
                <w:sz w:val="18"/>
                <w:szCs w:val="18"/>
              </w:rPr>
              <w:t xml:space="preserve"> </w:t>
            </w:r>
          </w:p>
        </w:tc>
        <w:tc>
          <w:tcPr>
            <w:tcW w:w="0" w:type="auto"/>
            <w:tcBorders>
              <w:top w:val="nil"/>
              <w:left w:val="nil"/>
              <w:bottom w:val="single" w:color="auto" w:sz="4" w:space="0"/>
              <w:right w:val="single" w:color="auto" w:sz="4" w:space="0"/>
            </w:tcBorders>
            <w:vAlign w:val="center"/>
          </w:tcPr>
          <w:p>
            <w:pPr>
              <w:spacing w:beforeAutospacing="1" w:afterAutospacing="1"/>
              <w:rPr>
                <w:rFonts w:ascii="Times New Roman" w:hAnsi="Times New Roman" w:eastAsia="Times New Roman" w:cs="Times New Roman"/>
                <w:sz w:val="20"/>
                <w:szCs w:val="20"/>
              </w:rPr>
            </w:pPr>
          </w:p>
        </w:tc>
        <w:tc>
          <w:tcPr>
            <w:tcW w:w="0" w:type="auto"/>
            <w:tcBorders>
              <w:top w:val="nil"/>
              <w:left w:val="nil"/>
              <w:bottom w:val="single" w:color="auto" w:sz="4" w:space="0"/>
              <w:right w:val="single" w:color="auto" w:sz="4" w:space="0"/>
            </w:tcBorders>
            <w:vAlign w:val="center"/>
          </w:tcPr>
          <w:p>
            <w:pPr>
              <w:spacing w:beforeAutospacing="1" w:afterAutospacing="1"/>
              <w:rPr>
                <w:rFonts w:ascii="Times New Roman" w:hAnsi="Times New Roman" w:eastAsia="Times New Roman" w:cs="Times New Roman"/>
                <w:sz w:val="20"/>
                <w:szCs w:val="20"/>
              </w:rPr>
            </w:pPr>
          </w:p>
        </w:tc>
        <w:tc>
          <w:tcPr>
            <w:tcW w:w="540" w:type="dxa"/>
            <w:tcBorders>
              <w:top w:val="nil"/>
              <w:left w:val="nil"/>
              <w:bottom w:val="single" w:color="auto" w:sz="4" w:space="0"/>
              <w:right w:val="single" w:color="auto" w:sz="4" w:space="0"/>
            </w:tcBorders>
            <w:vAlign w:val="center"/>
          </w:tcPr>
          <w:p>
            <w:pPr>
              <w:spacing w:beforeAutospacing="1" w:afterAutospacing="1"/>
              <w:rPr>
                <w:rFonts w:ascii="Times New Roman" w:hAnsi="Times New Roman" w:eastAsia="Times New Roman" w:cs="Times New Roman"/>
                <w:sz w:val="20"/>
                <w:szCs w:val="20"/>
              </w:rPr>
            </w:pPr>
          </w:p>
        </w:tc>
        <w:tc>
          <w:tcPr>
            <w:tcW w:w="683" w:type="dxa"/>
            <w:tcBorders>
              <w:top w:val="nil"/>
              <w:left w:val="nil"/>
              <w:bottom w:val="single" w:color="auto" w:sz="4" w:space="0"/>
              <w:right w:val="single" w:color="auto" w:sz="4" w:space="0"/>
            </w:tcBorders>
            <w:vAlign w:val="center"/>
          </w:tcPr>
          <w:p>
            <w:pPr>
              <w:spacing w:beforeAutospacing="1" w:afterAutospacing="1"/>
              <w:rPr>
                <w:rFonts w:ascii="Times New Roman" w:hAnsi="Times New Roman" w:eastAsia="Times New Roman" w:cs="Times New Roman"/>
                <w:sz w:val="20"/>
                <w:szCs w:val="20"/>
              </w:rPr>
            </w:pPr>
          </w:p>
        </w:tc>
        <w:tc>
          <w:tcPr>
            <w:tcW w:w="1475" w:type="dxa"/>
            <w:tcBorders>
              <w:top w:val="single" w:color="auto" w:sz="4" w:space="0"/>
              <w:left w:val="nil"/>
              <w:bottom w:val="single" w:color="auto" w:sz="4" w:space="0"/>
              <w:right w:val="single" w:color="auto" w:sz="4" w:space="0"/>
            </w:tcBorders>
            <w:vAlign w:val="center"/>
          </w:tcPr>
          <w:p>
            <w:pPr>
              <w:spacing w:beforeAutospacing="1" w:afterAutospacing="1"/>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559"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continue"/>
            <w:tcBorders>
              <w:top w:val="nil"/>
              <w:left w:val="nil"/>
              <w:bottom w:val="single" w:color="auto" w:sz="4" w:space="0"/>
              <w:right w:val="single" w:color="auto" w:sz="4" w:space="0"/>
            </w:tcBorders>
            <w:vAlign w:val="center"/>
          </w:tcPr>
          <w:p>
            <w:pPr>
              <w:rPr>
                <w:sz w:val="18"/>
                <w:szCs w:val="18"/>
              </w:rPr>
            </w:pP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可持续影响指标</w:t>
            </w:r>
          </w:p>
        </w:tc>
        <w:tc>
          <w:tcPr>
            <w:tcW w:w="0" w:type="auto"/>
            <w:tcBorders>
              <w:top w:val="single" w:color="auto" w:sz="4" w:space="0"/>
              <w:left w:val="nil"/>
              <w:bottom w:val="single" w:color="auto" w:sz="4" w:space="0"/>
              <w:right w:val="single" w:color="auto" w:sz="4" w:space="0"/>
            </w:tcBorders>
            <w:vAlign w:val="center"/>
          </w:tcPr>
          <w:p>
            <w:pPr>
              <w:spacing w:beforeAutospacing="1" w:afterAutospacing="1"/>
              <w:rPr>
                <w:rFonts w:ascii="Times New Roman" w:hAnsi="Times New Roman" w:eastAsia="Times New Roman" w:cs="Times New Roman"/>
                <w:sz w:val="20"/>
                <w:szCs w:val="20"/>
              </w:rPr>
            </w:pP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xml:space="preserve">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w:t>
            </w:r>
          </w:p>
        </w:tc>
        <w:tc>
          <w:tcPr>
            <w:tcW w:w="5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xml:space="preserve"> 　</w:t>
            </w:r>
          </w:p>
        </w:tc>
        <w:tc>
          <w:tcPr>
            <w:tcW w:w="68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xml:space="preserve"> </w:t>
            </w:r>
          </w:p>
        </w:tc>
        <w:tc>
          <w:tcPr>
            <w:tcW w:w="1475" w:type="dxa"/>
            <w:tcBorders>
              <w:top w:val="single" w:color="auto" w:sz="4" w:space="0"/>
              <w:left w:val="nil"/>
              <w:bottom w:val="single" w:color="auto" w:sz="4" w:space="0"/>
              <w:right w:val="single" w:color="auto" w:sz="4" w:space="0"/>
            </w:tcBorders>
            <w:vAlign w:val="center"/>
          </w:tcPr>
          <w:p>
            <w:pPr>
              <w:spacing w:beforeAutospacing="1" w:afterAutospacing="1"/>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83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tcBorders>
              <w:top w:val="nil"/>
              <w:left w:val="nil"/>
              <w:bottom w:val="single" w:color="auto" w:sz="4" w:space="0"/>
              <w:right w:val="single" w:color="auto" w:sz="4" w:space="0"/>
            </w:tcBorders>
            <w:vAlign w:val="center"/>
          </w:tcPr>
          <w:p>
            <w:pPr>
              <w:spacing w:line="200" w:lineRule="exact"/>
              <w:jc w:val="center"/>
              <w:rPr>
                <w:sz w:val="18"/>
                <w:szCs w:val="18"/>
              </w:rPr>
            </w:pPr>
            <w:r>
              <w:rPr>
                <w:rFonts w:hint="eastAsia"/>
                <w:sz w:val="18"/>
                <w:szCs w:val="18"/>
              </w:rPr>
              <w:t>满意度</w:t>
            </w:r>
          </w:p>
          <w:p>
            <w:pPr>
              <w:spacing w:line="200" w:lineRule="exact"/>
              <w:jc w:val="center"/>
              <w:rPr>
                <w:sz w:val="18"/>
                <w:szCs w:val="18"/>
              </w:rPr>
            </w:pPr>
            <w:r>
              <w:rPr>
                <w:rFonts w:hint="eastAsia"/>
                <w:sz w:val="18"/>
                <w:szCs w:val="18"/>
              </w:rPr>
              <w:t>指标（10）</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服务对象</w:t>
            </w:r>
          </w:p>
          <w:p>
            <w:pPr>
              <w:spacing w:line="240" w:lineRule="exact"/>
              <w:jc w:val="center"/>
              <w:rPr>
                <w:sz w:val="18"/>
                <w:szCs w:val="18"/>
              </w:rPr>
            </w:pPr>
            <w:r>
              <w:rPr>
                <w:rFonts w:hint="eastAsia"/>
                <w:sz w:val="18"/>
                <w:szCs w:val="18"/>
              </w:rPr>
              <w:t>满意度指标</w:t>
            </w:r>
          </w:p>
        </w:tc>
        <w:tc>
          <w:tcPr>
            <w:tcW w:w="0" w:type="auto"/>
            <w:tcBorders>
              <w:top w:val="single" w:color="auto" w:sz="4" w:space="0"/>
              <w:left w:val="nil"/>
              <w:bottom w:val="single" w:color="auto" w:sz="4" w:space="0"/>
              <w:right w:val="single" w:color="auto" w:sz="4" w:space="0"/>
            </w:tcBorders>
          </w:tcPr>
          <w:p>
            <w:pPr>
              <w:adjustRightInd w:val="0"/>
              <w:spacing w:before="100" w:beforeAutospacing="1" w:after="100" w:afterAutospacing="1"/>
              <w:rPr>
                <w:sz w:val="18"/>
                <w:szCs w:val="18"/>
              </w:rPr>
            </w:pPr>
            <w:r>
              <w:rPr>
                <w:rFonts w:hint="eastAsia"/>
                <w:sz w:val="18"/>
                <w:szCs w:val="18"/>
              </w:rPr>
              <w:t>党员活动经费满意度</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5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c>
          <w:tcPr>
            <w:tcW w:w="68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w:t>
            </w:r>
          </w:p>
        </w:tc>
        <w:tc>
          <w:tcPr>
            <w:tcW w:w="1475"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color w:val="000000"/>
                <w:sz w:val="18"/>
                <w:szCs w:val="18"/>
              </w:rPr>
              <w:t>平均满意度目标值达到100%以上</w:t>
            </w:r>
          </w:p>
        </w:tc>
      </w:tr>
      <w:tr>
        <w:tblPrEx>
          <w:tblCellMar>
            <w:top w:w="0" w:type="dxa"/>
            <w:left w:w="108" w:type="dxa"/>
            <w:bottom w:w="0" w:type="dxa"/>
            <w:right w:w="108" w:type="dxa"/>
          </w:tblCellMar>
        </w:tblPrEx>
        <w:trPr>
          <w:trHeight w:val="284" w:hRule="atLeast"/>
          <w:jc w:val="center"/>
        </w:trPr>
        <w:tc>
          <w:tcPr>
            <w:tcW w:w="0" w:type="auto"/>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总    分</w:t>
            </w:r>
          </w:p>
        </w:tc>
        <w:tc>
          <w:tcPr>
            <w:tcW w:w="540" w:type="dxa"/>
            <w:tcBorders>
              <w:top w:val="nil"/>
              <w:left w:val="nil"/>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90</w:t>
            </w:r>
          </w:p>
        </w:tc>
        <w:tc>
          <w:tcPr>
            <w:tcW w:w="683" w:type="dxa"/>
            <w:tcBorders>
              <w:top w:val="nil"/>
              <w:left w:val="nil"/>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90</w:t>
            </w:r>
          </w:p>
        </w:tc>
        <w:tc>
          <w:tcPr>
            <w:tcW w:w="1475"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w:t>
            </w:r>
          </w:p>
        </w:tc>
      </w:tr>
    </w:tbl>
    <w:p>
      <w:pPr>
        <w:spacing w:after="120" w:line="360" w:lineRule="auto"/>
        <w:rPr>
          <w:rFonts w:cs="Times New Roman"/>
          <w:sz w:val="30"/>
          <w:szCs w:val="30"/>
        </w:rPr>
      </w:pPr>
      <w:r>
        <w:rPr>
          <w:rFonts w:hint="eastAsia" w:cs="Times New Roman"/>
          <w:sz w:val="30"/>
          <w:szCs w:val="30"/>
        </w:rPr>
        <w:t xml:space="preserve"> </w:t>
      </w:r>
      <w:r>
        <w:rPr>
          <w:rFonts w:hint="eastAsia"/>
        </w:rPr>
        <w:t xml:space="preserve"> </w:t>
      </w:r>
    </w:p>
    <w:tbl>
      <w:tblPr>
        <w:tblStyle w:val="15"/>
        <w:tblW w:w="0" w:type="auto"/>
        <w:jc w:val="center"/>
        <w:tblLayout w:type="autofit"/>
        <w:tblCellMar>
          <w:top w:w="0" w:type="dxa"/>
          <w:left w:w="108" w:type="dxa"/>
          <w:bottom w:w="0" w:type="dxa"/>
          <w:right w:w="108" w:type="dxa"/>
        </w:tblCellMar>
      </w:tblPr>
      <w:tblGrid>
        <w:gridCol w:w="818"/>
        <w:gridCol w:w="791"/>
        <w:gridCol w:w="225"/>
        <w:gridCol w:w="225"/>
        <w:gridCol w:w="718"/>
        <w:gridCol w:w="633"/>
        <w:gridCol w:w="640"/>
        <w:gridCol w:w="897"/>
        <w:gridCol w:w="1135"/>
        <w:gridCol w:w="2449"/>
      </w:tblGrid>
      <w:tr>
        <w:tblPrEx>
          <w:tblCellMar>
            <w:top w:w="0" w:type="dxa"/>
            <w:left w:w="108" w:type="dxa"/>
            <w:bottom w:w="0" w:type="dxa"/>
            <w:right w:w="108" w:type="dxa"/>
          </w:tblCellMar>
        </w:tblPrEx>
        <w:trPr>
          <w:trHeight w:val="860" w:hRule="atLeast"/>
          <w:jc w:val="center"/>
        </w:trPr>
        <w:tc>
          <w:tcPr>
            <w:tcW w:w="0" w:type="auto"/>
            <w:gridSpan w:val="10"/>
            <w:vAlign w:val="center"/>
          </w:tcPr>
          <w:p>
            <w:pPr>
              <w:spacing w:line="560" w:lineRule="exact"/>
              <w:rPr>
                <w:rFonts w:ascii="方正小标宋简体" w:hAnsi="华文中宋"/>
                <w:bCs/>
                <w:spacing w:val="20"/>
                <w:sz w:val="44"/>
                <w:szCs w:val="44"/>
              </w:rPr>
            </w:pPr>
          </w:p>
          <w:p>
            <w:pPr>
              <w:spacing w:line="560" w:lineRule="exact"/>
              <w:jc w:val="center"/>
              <w:rPr>
                <w:rFonts w:hint="eastAsia" w:ascii="方正小标宋简体" w:hAnsi="方正小标宋简体"/>
                <w:bCs/>
                <w:spacing w:val="20"/>
                <w:sz w:val="44"/>
                <w:szCs w:val="44"/>
              </w:rPr>
            </w:pPr>
          </w:p>
          <w:p>
            <w:pPr>
              <w:spacing w:line="560" w:lineRule="exact"/>
              <w:jc w:val="center"/>
              <w:rPr>
                <w:rFonts w:hint="eastAsia" w:ascii="方正小标宋简体" w:hAnsi="方正小标宋简体"/>
                <w:bCs/>
                <w:spacing w:val="20"/>
                <w:sz w:val="44"/>
                <w:szCs w:val="44"/>
              </w:rPr>
            </w:pPr>
          </w:p>
          <w:p>
            <w:pPr>
              <w:spacing w:line="560" w:lineRule="exact"/>
              <w:jc w:val="center"/>
              <w:rPr>
                <w:rFonts w:ascii="方正小标宋简体" w:hAnsi="华文中宋"/>
                <w:bCs/>
                <w:sz w:val="44"/>
                <w:szCs w:val="44"/>
              </w:rPr>
            </w:pPr>
            <w:r>
              <w:rPr>
                <w:rFonts w:hint="eastAsia" w:ascii="方正小标宋简体" w:hAnsi="方正小标宋简体"/>
                <w:bCs/>
                <w:spacing w:val="20"/>
                <w:sz w:val="44"/>
                <w:szCs w:val="44"/>
              </w:rPr>
              <w:t>项目支出绩效自评表</w:t>
            </w:r>
          </w:p>
        </w:tc>
      </w:tr>
      <w:tr>
        <w:tblPrEx>
          <w:tblCellMar>
            <w:top w:w="0" w:type="dxa"/>
            <w:left w:w="108" w:type="dxa"/>
            <w:bottom w:w="0" w:type="dxa"/>
            <w:right w:w="108" w:type="dxa"/>
          </w:tblCellMar>
        </w:tblPrEx>
        <w:trPr>
          <w:trHeight w:val="293" w:hRule="atLeast"/>
          <w:jc w:val="center"/>
        </w:trPr>
        <w:tc>
          <w:tcPr>
            <w:tcW w:w="0" w:type="auto"/>
            <w:gridSpan w:val="10"/>
          </w:tcPr>
          <w:p>
            <w:pPr>
              <w:spacing w:line="400" w:lineRule="exact"/>
              <w:jc w:val="center"/>
              <w:rPr>
                <w:rFonts w:ascii="Times New Roman" w:hAnsi="Times New Roman" w:cs="Times New Roman"/>
              </w:rPr>
            </w:pPr>
            <w:r>
              <w:rPr>
                <w:rFonts w:hint="eastAsia" w:ascii="方正楷体简体" w:hAnsi="方正楷体简体"/>
                <w:sz w:val="32"/>
                <w:szCs w:val="32"/>
              </w:rPr>
              <w:t>（</w:t>
            </w:r>
            <w:r>
              <w:rPr>
                <w:rFonts w:ascii="方正楷体简体" w:hAnsi="方正楷体简体"/>
                <w:sz w:val="32"/>
                <w:szCs w:val="32"/>
              </w:rPr>
              <w:t>2022</w:t>
            </w:r>
            <w:r>
              <w:rPr>
                <w:rFonts w:hint="eastAsia" w:ascii="方正楷体简体" w:hAnsi="方正楷体简体"/>
                <w:sz w:val="32"/>
                <w:szCs w:val="32"/>
              </w:rPr>
              <w:t>年度）</w:t>
            </w:r>
          </w:p>
        </w:tc>
      </w:tr>
      <w:tr>
        <w:tblPrEx>
          <w:tblCellMar>
            <w:top w:w="0" w:type="dxa"/>
            <w:left w:w="108" w:type="dxa"/>
            <w:bottom w:w="0" w:type="dxa"/>
            <w:right w:w="108" w:type="dxa"/>
          </w:tblCellMar>
        </w:tblPrEx>
        <w:trPr>
          <w:trHeight w:val="28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项目名称</w:t>
            </w:r>
          </w:p>
        </w:tc>
        <w:tc>
          <w:tcPr>
            <w:tcW w:w="0" w:type="auto"/>
            <w:gridSpan w:val="9"/>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包头亚麻纺织厂职工春节慰问金</w:t>
            </w:r>
          </w:p>
        </w:tc>
      </w:tr>
      <w:tr>
        <w:tblPrEx>
          <w:tblCellMar>
            <w:top w:w="0" w:type="dxa"/>
            <w:left w:w="108" w:type="dxa"/>
            <w:bottom w:w="0" w:type="dxa"/>
            <w:right w:w="108" w:type="dxa"/>
          </w:tblCellMar>
        </w:tblPrEx>
        <w:trPr>
          <w:trHeight w:val="28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主管部门及代码</w:t>
            </w:r>
          </w:p>
        </w:tc>
        <w:tc>
          <w:tcPr>
            <w:tcW w:w="2592" w:type="dxa"/>
            <w:gridSpan w:val="5"/>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市财政局工交科　</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实施单位</w:t>
            </w:r>
          </w:p>
        </w:tc>
        <w:tc>
          <w:tcPr>
            <w:tcW w:w="0" w:type="auto"/>
            <w:gridSpan w:val="3"/>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包头市国资委　</w:t>
            </w:r>
          </w:p>
        </w:tc>
      </w:tr>
      <w:tr>
        <w:tblPrEx>
          <w:tblCellMar>
            <w:top w:w="0" w:type="dxa"/>
            <w:left w:w="108" w:type="dxa"/>
            <w:bottom w:w="0" w:type="dxa"/>
            <w:right w:w="108" w:type="dxa"/>
          </w:tblCellMar>
        </w:tblPrEx>
        <w:trPr>
          <w:trHeight w:val="284" w:hRule="atLeast"/>
          <w:jc w:val="center"/>
        </w:trPr>
        <w:tc>
          <w:tcPr>
            <w:tcW w:w="0" w:type="auto"/>
            <w:vMerge w:val="restart"/>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项目资金</w:t>
            </w:r>
            <w:r>
              <w:rPr>
                <w:rFonts w:hint="eastAsia"/>
                <w:sz w:val="18"/>
                <w:szCs w:val="18"/>
              </w:rPr>
              <w:br w:type="textWrapping"/>
            </w:r>
            <w:r>
              <w:rPr>
                <w:rFonts w:hint="eastAsia"/>
                <w:sz w:val="18"/>
                <w:szCs w:val="18"/>
              </w:rPr>
              <w:t>（万元）</w:t>
            </w:r>
          </w:p>
        </w:tc>
        <w:tc>
          <w:tcPr>
            <w:tcW w:w="0" w:type="auto"/>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年初预算数</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全年预算数</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全年执行数</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分值</w:t>
            </w:r>
          </w:p>
        </w:tc>
        <w:tc>
          <w:tcPr>
            <w:tcW w:w="1135"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执行率</w:t>
            </w:r>
          </w:p>
        </w:tc>
        <w:tc>
          <w:tcPr>
            <w:tcW w:w="245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得分</w:t>
            </w:r>
          </w:p>
        </w:tc>
      </w:tr>
      <w:tr>
        <w:tblPrEx>
          <w:tblCellMar>
            <w:top w:w="0" w:type="dxa"/>
            <w:left w:w="108" w:type="dxa"/>
            <w:bottom w:w="0" w:type="dxa"/>
            <w:right w:w="108" w:type="dxa"/>
          </w:tblCellMar>
        </w:tblPrEx>
        <w:trPr>
          <w:trHeight w:val="28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gridSpan w:val="2"/>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sz w:val="18"/>
                <w:szCs w:val="18"/>
              </w:rPr>
              <w:t>年度资金总额</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9.48</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w:t>
            </w:r>
          </w:p>
        </w:tc>
        <w:tc>
          <w:tcPr>
            <w:tcW w:w="1135"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245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r>
      <w:tr>
        <w:tblPrEx>
          <w:tblCellMar>
            <w:top w:w="0" w:type="dxa"/>
            <w:left w:w="108" w:type="dxa"/>
            <w:bottom w:w="0" w:type="dxa"/>
            <w:right w:w="108" w:type="dxa"/>
          </w:tblCellMar>
        </w:tblPrEx>
        <w:trPr>
          <w:trHeight w:val="28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其中：财政拨款</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9.48　</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c>
          <w:tcPr>
            <w:tcW w:w="1135"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245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r>
      <w:tr>
        <w:tblPrEx>
          <w:tblCellMar>
            <w:top w:w="0" w:type="dxa"/>
            <w:left w:w="108" w:type="dxa"/>
            <w:bottom w:w="0" w:type="dxa"/>
            <w:right w:w="108" w:type="dxa"/>
          </w:tblCellMar>
        </w:tblPrEx>
        <w:trPr>
          <w:trHeight w:val="28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xml:space="preserve">     其他资金</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c>
          <w:tcPr>
            <w:tcW w:w="1135"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245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r>
      <w:tr>
        <w:tblPrEx>
          <w:tblCellMar>
            <w:top w:w="0" w:type="dxa"/>
            <w:left w:w="108" w:type="dxa"/>
            <w:bottom w:w="0" w:type="dxa"/>
            <w:right w:w="108" w:type="dxa"/>
          </w:tblCellMar>
        </w:tblPrEx>
        <w:trPr>
          <w:trHeight w:val="284" w:hRule="atLeast"/>
          <w:jc w:val="center"/>
        </w:trPr>
        <w:tc>
          <w:tcPr>
            <w:tcW w:w="0" w:type="auto"/>
            <w:vMerge w:val="restart"/>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年度总体目标</w:t>
            </w:r>
          </w:p>
        </w:tc>
        <w:tc>
          <w:tcPr>
            <w:tcW w:w="2592" w:type="dxa"/>
            <w:gridSpan w:val="5"/>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预期目标</w:t>
            </w:r>
          </w:p>
        </w:tc>
        <w:tc>
          <w:tcPr>
            <w:tcW w:w="5122" w:type="dxa"/>
            <w:gridSpan w:val="4"/>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实际完成情况</w:t>
            </w:r>
          </w:p>
        </w:tc>
      </w:tr>
      <w:tr>
        <w:tblPrEx>
          <w:tblCellMar>
            <w:top w:w="0" w:type="dxa"/>
            <w:left w:w="108" w:type="dxa"/>
            <w:bottom w:w="0" w:type="dxa"/>
            <w:right w:w="108" w:type="dxa"/>
          </w:tblCellMar>
        </w:tblPrEx>
        <w:trPr>
          <w:trHeight w:val="21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2592" w:type="dxa"/>
            <w:gridSpan w:val="5"/>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w:t>
            </w:r>
            <w:r>
              <w:rPr>
                <w:rFonts w:hint="eastAsia"/>
                <w:color w:val="000000"/>
                <w:sz w:val="18"/>
                <w:szCs w:val="18"/>
              </w:rPr>
              <w:t>根据市委、市政府工作部署。为维护社会稳定，发放亚麻厂职工春节慰问款。</w:t>
            </w:r>
          </w:p>
        </w:tc>
        <w:tc>
          <w:tcPr>
            <w:tcW w:w="5122" w:type="dxa"/>
            <w:gridSpan w:val="4"/>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color w:val="000000"/>
                <w:sz w:val="18"/>
                <w:szCs w:val="18"/>
              </w:rPr>
              <w:t>根据市委、市政府工作部署。为维护社会稳定，发放亚麻厂职工春节慰问款。</w:t>
            </w:r>
          </w:p>
        </w:tc>
      </w:tr>
      <w:tr>
        <w:tblPrEx>
          <w:tblCellMar>
            <w:top w:w="0" w:type="dxa"/>
            <w:left w:w="108" w:type="dxa"/>
            <w:bottom w:w="0" w:type="dxa"/>
            <w:right w:w="108" w:type="dxa"/>
          </w:tblCellMar>
        </w:tblPrEx>
        <w:trPr>
          <w:cantSplit/>
          <w:trHeight w:val="505" w:hRule="atLeast"/>
          <w:jc w:val="center"/>
        </w:trPr>
        <w:tc>
          <w:tcPr>
            <w:tcW w:w="0" w:type="auto"/>
            <w:vMerge w:val="restart"/>
            <w:tcBorders>
              <w:top w:val="nil"/>
              <w:left w:val="single" w:color="auto" w:sz="4" w:space="0"/>
              <w:bottom w:val="single" w:color="auto" w:sz="4" w:space="0"/>
              <w:right w:val="single" w:color="auto" w:sz="4" w:space="0"/>
            </w:tcBorders>
            <w:vAlign w:val="center"/>
          </w:tcPr>
          <w:p>
            <w:pPr>
              <w:spacing w:line="280" w:lineRule="exact"/>
              <w:jc w:val="center"/>
              <w:rPr>
                <w:sz w:val="18"/>
                <w:szCs w:val="18"/>
              </w:rPr>
            </w:pPr>
            <w:r>
              <w:rPr>
                <w:rFonts w:hint="eastAsia"/>
                <w:sz w:val="18"/>
                <w:szCs w:val="18"/>
              </w:rPr>
              <w:t>绩  效  指  标（90）</w:t>
            </w:r>
          </w:p>
        </w:tc>
        <w:tc>
          <w:tcPr>
            <w:tcW w:w="0" w:type="auto"/>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一级指标</w:t>
            </w:r>
          </w:p>
        </w:tc>
        <w:tc>
          <w:tcPr>
            <w:tcW w:w="0" w:type="auto"/>
            <w:gridSpan w:val="2"/>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二级指标</w:t>
            </w:r>
          </w:p>
        </w:tc>
        <w:tc>
          <w:tcPr>
            <w:tcW w:w="0" w:type="auto"/>
            <w:tcBorders>
              <w:top w:val="single" w:color="auto" w:sz="4" w:space="0"/>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三级指标</w:t>
            </w:r>
          </w:p>
        </w:tc>
        <w:tc>
          <w:tcPr>
            <w:tcW w:w="633" w:type="dxa"/>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年度指标值</w:t>
            </w:r>
          </w:p>
        </w:tc>
        <w:tc>
          <w:tcPr>
            <w:tcW w:w="640" w:type="dxa"/>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实际完成值</w:t>
            </w:r>
          </w:p>
        </w:tc>
        <w:tc>
          <w:tcPr>
            <w:tcW w:w="897" w:type="dxa"/>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分值</w:t>
            </w:r>
          </w:p>
        </w:tc>
        <w:tc>
          <w:tcPr>
            <w:tcW w:w="1135" w:type="dxa"/>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得分</w:t>
            </w:r>
          </w:p>
        </w:tc>
        <w:tc>
          <w:tcPr>
            <w:tcW w:w="2450" w:type="dxa"/>
            <w:tcBorders>
              <w:top w:val="single" w:color="auto" w:sz="4" w:space="0"/>
              <w:left w:val="nil"/>
              <w:bottom w:val="single" w:color="auto" w:sz="4" w:space="0"/>
              <w:right w:val="single" w:color="auto" w:sz="4" w:space="0"/>
            </w:tcBorders>
            <w:vAlign w:val="center"/>
          </w:tcPr>
          <w:p>
            <w:pPr>
              <w:spacing w:line="220" w:lineRule="exact"/>
              <w:jc w:val="center"/>
              <w:rPr>
                <w:sz w:val="18"/>
                <w:szCs w:val="18"/>
              </w:rPr>
            </w:pPr>
          </w:p>
        </w:tc>
      </w:tr>
      <w:tr>
        <w:tblPrEx>
          <w:tblCellMar>
            <w:top w:w="0" w:type="dxa"/>
            <w:left w:w="108" w:type="dxa"/>
            <w:bottom w:w="0" w:type="dxa"/>
            <w:right w:w="108" w:type="dxa"/>
          </w:tblCellMar>
        </w:tblPrEx>
        <w:trPr>
          <w:trHeight w:val="53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restart"/>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产出指标（50）</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数量指标</w:t>
            </w:r>
          </w:p>
        </w:tc>
        <w:tc>
          <w:tcPr>
            <w:tcW w:w="0" w:type="auto"/>
            <w:tcBorders>
              <w:top w:val="single" w:color="auto" w:sz="4" w:space="0"/>
              <w:left w:val="nil"/>
              <w:bottom w:val="single" w:color="auto" w:sz="4" w:space="0"/>
              <w:right w:val="single" w:color="auto" w:sz="4" w:space="0"/>
            </w:tcBorders>
            <w:vAlign w:val="center"/>
          </w:tcPr>
          <w:p>
            <w:pPr>
              <w:pStyle w:val="14"/>
              <w:ind w:left="0" w:leftChars="0" w:firstLine="0"/>
              <w:rPr>
                <w:rFonts w:cs="Times New Roman"/>
                <w:sz w:val="18"/>
                <w:szCs w:val="18"/>
              </w:rPr>
            </w:pPr>
            <w:r>
              <w:rPr>
                <w:rFonts w:hint="eastAsia" w:cs="Times New Roman"/>
                <w:sz w:val="18"/>
                <w:szCs w:val="18"/>
              </w:rPr>
              <w:t>补助资金下发次数</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　</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c>
          <w:tcPr>
            <w:tcW w:w="113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15　</w:t>
            </w:r>
          </w:p>
        </w:tc>
        <w:tc>
          <w:tcPr>
            <w:tcW w:w="2450"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color w:val="000000"/>
                <w:sz w:val="18"/>
                <w:szCs w:val="18"/>
              </w:rPr>
              <w:t>确保资金足额拨付</w:t>
            </w:r>
          </w:p>
        </w:tc>
      </w:tr>
      <w:tr>
        <w:tblPrEx>
          <w:tblCellMar>
            <w:top w:w="0" w:type="dxa"/>
            <w:left w:w="108" w:type="dxa"/>
            <w:bottom w:w="0" w:type="dxa"/>
            <w:right w:w="108" w:type="dxa"/>
          </w:tblCellMar>
        </w:tblPrEx>
        <w:trPr>
          <w:trHeight w:val="55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continue"/>
            <w:tcBorders>
              <w:top w:val="nil"/>
              <w:left w:val="nil"/>
              <w:bottom w:val="single" w:color="auto" w:sz="4" w:space="0"/>
              <w:right w:val="single" w:color="auto" w:sz="4" w:space="0"/>
            </w:tcBorders>
            <w:vAlign w:val="center"/>
          </w:tcPr>
          <w:p>
            <w:pPr>
              <w:rPr>
                <w:sz w:val="18"/>
                <w:szCs w:val="18"/>
              </w:rPr>
            </w:pP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质量指标</w:t>
            </w:r>
          </w:p>
        </w:tc>
        <w:tc>
          <w:tcPr>
            <w:tcW w:w="0" w:type="auto"/>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r>
              <w:rPr>
                <w:rFonts w:hint="eastAsia"/>
                <w:sz w:val="18"/>
                <w:szCs w:val="18"/>
              </w:rPr>
              <w:t>资金拨付及时率</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20　</w:t>
            </w:r>
          </w:p>
        </w:tc>
        <w:tc>
          <w:tcPr>
            <w:tcW w:w="113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15　</w:t>
            </w:r>
          </w:p>
        </w:tc>
        <w:tc>
          <w:tcPr>
            <w:tcW w:w="2450"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sz w:val="18"/>
                <w:szCs w:val="18"/>
              </w:rPr>
              <w:t>确保资金及时拨付</w:t>
            </w:r>
          </w:p>
        </w:tc>
      </w:tr>
      <w:tr>
        <w:tblPrEx>
          <w:tblCellMar>
            <w:top w:w="0" w:type="dxa"/>
            <w:left w:w="108" w:type="dxa"/>
            <w:bottom w:w="0" w:type="dxa"/>
            <w:right w:w="108" w:type="dxa"/>
          </w:tblCellMar>
        </w:tblPrEx>
        <w:trPr>
          <w:trHeight w:val="552"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continue"/>
            <w:tcBorders>
              <w:top w:val="nil"/>
              <w:left w:val="nil"/>
              <w:bottom w:val="single" w:color="auto" w:sz="4" w:space="0"/>
              <w:right w:val="single" w:color="auto" w:sz="4" w:space="0"/>
            </w:tcBorders>
            <w:vAlign w:val="center"/>
          </w:tcPr>
          <w:p>
            <w:pPr>
              <w:rPr>
                <w:sz w:val="18"/>
                <w:szCs w:val="18"/>
              </w:rPr>
            </w:pP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时效指标</w:t>
            </w:r>
          </w:p>
        </w:tc>
        <w:tc>
          <w:tcPr>
            <w:tcW w:w="0" w:type="auto"/>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r>
              <w:rPr>
                <w:rFonts w:hint="eastAsia"/>
                <w:sz w:val="18"/>
                <w:szCs w:val="18"/>
              </w:rPr>
              <w:t>预算执行情况</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c>
          <w:tcPr>
            <w:tcW w:w="113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w:t>
            </w:r>
          </w:p>
        </w:tc>
        <w:tc>
          <w:tcPr>
            <w:tcW w:w="2450"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sz w:val="18"/>
                <w:szCs w:val="18"/>
              </w:rPr>
              <w:t>确保资金于年度内全额发放完成　</w:t>
            </w:r>
          </w:p>
        </w:tc>
      </w:tr>
      <w:tr>
        <w:tblPrEx>
          <w:tblCellMar>
            <w:top w:w="0" w:type="dxa"/>
            <w:left w:w="108" w:type="dxa"/>
            <w:bottom w:w="0" w:type="dxa"/>
            <w:right w:w="108" w:type="dxa"/>
          </w:tblCellMar>
        </w:tblPrEx>
        <w:trPr>
          <w:trHeight w:val="559"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continue"/>
            <w:tcBorders>
              <w:top w:val="nil"/>
              <w:left w:val="nil"/>
              <w:bottom w:val="single" w:color="auto" w:sz="4" w:space="0"/>
              <w:right w:val="single" w:color="auto" w:sz="4" w:space="0"/>
            </w:tcBorders>
            <w:vAlign w:val="center"/>
          </w:tcPr>
          <w:p>
            <w:pPr>
              <w:rPr>
                <w:sz w:val="18"/>
                <w:szCs w:val="18"/>
              </w:rPr>
            </w:pP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成本指标</w:t>
            </w:r>
          </w:p>
        </w:tc>
        <w:tc>
          <w:tcPr>
            <w:tcW w:w="0" w:type="auto"/>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r>
              <w:rPr>
                <w:rFonts w:hint="eastAsia"/>
                <w:sz w:val="18"/>
                <w:szCs w:val="18"/>
              </w:rPr>
              <w:t>春节慰问款</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c>
          <w:tcPr>
            <w:tcW w:w="113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c>
          <w:tcPr>
            <w:tcW w:w="2450"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sz w:val="18"/>
                <w:szCs w:val="18"/>
              </w:rPr>
              <w:t>项目预算金额全部到位　</w:t>
            </w:r>
          </w:p>
        </w:tc>
      </w:tr>
      <w:tr>
        <w:tblPrEx>
          <w:tblCellMar>
            <w:top w:w="0" w:type="dxa"/>
            <w:left w:w="108" w:type="dxa"/>
            <w:bottom w:w="0" w:type="dxa"/>
            <w:right w:w="108" w:type="dxa"/>
          </w:tblCellMar>
        </w:tblPrEx>
        <w:trPr>
          <w:trHeight w:val="57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continue"/>
            <w:tcBorders>
              <w:top w:val="nil"/>
              <w:left w:val="nil"/>
              <w:bottom w:val="single" w:color="auto" w:sz="4" w:space="0"/>
              <w:right w:val="single" w:color="auto" w:sz="4" w:space="0"/>
            </w:tcBorders>
            <w:vAlign w:val="center"/>
          </w:tcPr>
          <w:p>
            <w:pPr>
              <w:rPr>
                <w:sz w:val="18"/>
                <w:szCs w:val="18"/>
              </w:rPr>
            </w:pP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社会效益指标</w:t>
            </w:r>
          </w:p>
        </w:tc>
        <w:tc>
          <w:tcPr>
            <w:tcW w:w="0" w:type="auto"/>
            <w:tcBorders>
              <w:top w:val="single" w:color="auto" w:sz="4" w:space="0"/>
              <w:left w:val="nil"/>
              <w:bottom w:val="single" w:color="auto" w:sz="4" w:space="0"/>
              <w:right w:val="single" w:color="auto" w:sz="4" w:space="0"/>
            </w:tcBorders>
          </w:tcPr>
          <w:p>
            <w:pPr>
              <w:rPr>
                <w:sz w:val="18"/>
                <w:szCs w:val="18"/>
              </w:rPr>
            </w:pPr>
            <w:r>
              <w:rPr>
                <w:rFonts w:hint="eastAsia"/>
                <w:color w:val="000000"/>
                <w:sz w:val="18"/>
                <w:szCs w:val="18"/>
              </w:rPr>
              <w:t xml:space="preserve">保障人员安居乐业 </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15　</w:t>
            </w:r>
          </w:p>
        </w:tc>
        <w:tc>
          <w:tcPr>
            <w:tcW w:w="113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15　</w:t>
            </w:r>
          </w:p>
        </w:tc>
        <w:tc>
          <w:tcPr>
            <w:tcW w:w="2450"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color w:val="000000"/>
                <w:sz w:val="18"/>
                <w:szCs w:val="18"/>
              </w:rPr>
              <w:t>保障国企健康持续发展</w:t>
            </w:r>
            <w:r>
              <w:rPr>
                <w:rFonts w:hint="eastAsia"/>
                <w:sz w:val="18"/>
                <w:szCs w:val="18"/>
              </w:rPr>
              <w:t>　</w:t>
            </w:r>
          </w:p>
        </w:tc>
      </w:tr>
      <w:tr>
        <w:tblPrEx>
          <w:tblCellMar>
            <w:top w:w="0" w:type="dxa"/>
            <w:left w:w="108" w:type="dxa"/>
            <w:bottom w:w="0" w:type="dxa"/>
            <w:right w:w="108" w:type="dxa"/>
          </w:tblCellMar>
        </w:tblPrEx>
        <w:trPr>
          <w:trHeight w:val="559"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continue"/>
            <w:tcBorders>
              <w:top w:val="nil"/>
              <w:left w:val="nil"/>
              <w:bottom w:val="single" w:color="auto" w:sz="4" w:space="0"/>
              <w:right w:val="single" w:color="auto" w:sz="4" w:space="0"/>
            </w:tcBorders>
            <w:vAlign w:val="center"/>
          </w:tcPr>
          <w:p>
            <w:pPr>
              <w:rPr>
                <w:sz w:val="18"/>
                <w:szCs w:val="18"/>
              </w:rPr>
            </w:pP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可持续影响指标</w:t>
            </w:r>
          </w:p>
        </w:tc>
        <w:tc>
          <w:tcPr>
            <w:tcW w:w="0" w:type="auto"/>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r>
              <w:rPr>
                <w:rFonts w:hint="eastAsia"/>
                <w:color w:val="000000"/>
                <w:sz w:val="18"/>
                <w:szCs w:val="18"/>
              </w:rPr>
              <w:t>提升职工生活质量</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15</w:t>
            </w:r>
          </w:p>
        </w:tc>
        <w:tc>
          <w:tcPr>
            <w:tcW w:w="113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15</w:t>
            </w:r>
          </w:p>
        </w:tc>
        <w:tc>
          <w:tcPr>
            <w:tcW w:w="2450"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color w:val="000000"/>
                <w:sz w:val="18"/>
                <w:szCs w:val="18"/>
              </w:rPr>
              <w:t>妥善解决历史遗留问题</w:t>
            </w:r>
            <w:r>
              <w:rPr>
                <w:rFonts w:hint="eastAsia"/>
                <w:sz w:val="18"/>
                <w:szCs w:val="18"/>
              </w:rPr>
              <w:t>　</w:t>
            </w:r>
          </w:p>
        </w:tc>
      </w:tr>
      <w:tr>
        <w:tblPrEx>
          <w:tblCellMar>
            <w:top w:w="0" w:type="dxa"/>
            <w:left w:w="108" w:type="dxa"/>
            <w:bottom w:w="0" w:type="dxa"/>
            <w:right w:w="108" w:type="dxa"/>
          </w:tblCellMar>
        </w:tblPrEx>
        <w:trPr>
          <w:trHeight w:val="83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tcBorders>
              <w:top w:val="nil"/>
              <w:left w:val="nil"/>
              <w:bottom w:val="single" w:color="auto" w:sz="4" w:space="0"/>
              <w:right w:val="single" w:color="auto" w:sz="4" w:space="0"/>
            </w:tcBorders>
            <w:vAlign w:val="center"/>
          </w:tcPr>
          <w:p>
            <w:pPr>
              <w:spacing w:line="200" w:lineRule="exact"/>
              <w:jc w:val="center"/>
              <w:rPr>
                <w:sz w:val="18"/>
                <w:szCs w:val="18"/>
              </w:rPr>
            </w:pPr>
            <w:r>
              <w:rPr>
                <w:rFonts w:hint="eastAsia"/>
                <w:sz w:val="18"/>
                <w:szCs w:val="18"/>
              </w:rPr>
              <w:t>满意度</w:t>
            </w:r>
          </w:p>
          <w:p>
            <w:pPr>
              <w:spacing w:line="200" w:lineRule="exact"/>
              <w:jc w:val="center"/>
              <w:rPr>
                <w:sz w:val="18"/>
                <w:szCs w:val="18"/>
              </w:rPr>
            </w:pPr>
            <w:r>
              <w:rPr>
                <w:rFonts w:hint="eastAsia"/>
                <w:sz w:val="18"/>
                <w:szCs w:val="18"/>
              </w:rPr>
              <w:t>指标（10）</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服务对象</w:t>
            </w:r>
          </w:p>
          <w:p>
            <w:pPr>
              <w:spacing w:line="240" w:lineRule="exact"/>
              <w:jc w:val="center"/>
              <w:rPr>
                <w:sz w:val="18"/>
                <w:szCs w:val="18"/>
              </w:rPr>
            </w:pPr>
            <w:r>
              <w:rPr>
                <w:rFonts w:hint="eastAsia"/>
                <w:sz w:val="18"/>
                <w:szCs w:val="18"/>
              </w:rPr>
              <w:t>满意度指标</w:t>
            </w:r>
          </w:p>
        </w:tc>
        <w:tc>
          <w:tcPr>
            <w:tcW w:w="0" w:type="auto"/>
            <w:tcBorders>
              <w:top w:val="single" w:color="auto" w:sz="4" w:space="0"/>
              <w:left w:val="nil"/>
              <w:bottom w:val="single" w:color="auto" w:sz="4" w:space="0"/>
              <w:right w:val="single" w:color="auto" w:sz="4" w:space="0"/>
            </w:tcBorders>
          </w:tcPr>
          <w:p>
            <w:pPr>
              <w:adjustRightInd w:val="0"/>
              <w:spacing w:before="100" w:beforeAutospacing="1" w:after="100" w:afterAutospacing="1"/>
              <w:rPr>
                <w:sz w:val="18"/>
                <w:szCs w:val="18"/>
              </w:rPr>
            </w:pPr>
            <w:r>
              <w:rPr>
                <w:rFonts w:hint="eastAsia"/>
                <w:sz w:val="18"/>
                <w:szCs w:val="18"/>
              </w:rPr>
              <w:t>保障职工满意。</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c>
          <w:tcPr>
            <w:tcW w:w="113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w:t>
            </w:r>
          </w:p>
        </w:tc>
        <w:tc>
          <w:tcPr>
            <w:tcW w:w="2450"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color w:val="000000"/>
                <w:sz w:val="18"/>
                <w:szCs w:val="18"/>
              </w:rPr>
              <w:t>维护国有企业职工合法权益和社会和谐稳定</w:t>
            </w:r>
            <w:r>
              <w:rPr>
                <w:rFonts w:hint="eastAsia"/>
                <w:sz w:val="18"/>
                <w:szCs w:val="18"/>
              </w:rPr>
              <w:t>　</w:t>
            </w:r>
          </w:p>
        </w:tc>
      </w:tr>
      <w:tr>
        <w:tblPrEx>
          <w:tblCellMar>
            <w:top w:w="0" w:type="dxa"/>
            <w:left w:w="108" w:type="dxa"/>
            <w:bottom w:w="0" w:type="dxa"/>
            <w:right w:w="108" w:type="dxa"/>
          </w:tblCellMar>
        </w:tblPrEx>
        <w:trPr>
          <w:trHeight w:val="284" w:hRule="atLeast"/>
          <w:jc w:val="center"/>
        </w:trPr>
        <w:tc>
          <w:tcPr>
            <w:tcW w:w="0" w:type="auto"/>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总    分</w:t>
            </w:r>
          </w:p>
        </w:tc>
        <w:tc>
          <w:tcPr>
            <w:tcW w:w="897" w:type="dxa"/>
            <w:tcBorders>
              <w:top w:val="nil"/>
              <w:left w:val="nil"/>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90</w:t>
            </w:r>
          </w:p>
        </w:tc>
        <w:tc>
          <w:tcPr>
            <w:tcW w:w="1135" w:type="dxa"/>
            <w:tcBorders>
              <w:top w:val="nil"/>
              <w:left w:val="nil"/>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90　</w:t>
            </w:r>
          </w:p>
        </w:tc>
        <w:tc>
          <w:tcPr>
            <w:tcW w:w="2450"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w:t>
            </w:r>
          </w:p>
        </w:tc>
      </w:tr>
      <w:tr>
        <w:tblPrEx>
          <w:tblCellMar>
            <w:top w:w="0" w:type="dxa"/>
            <w:left w:w="108" w:type="dxa"/>
            <w:bottom w:w="0" w:type="dxa"/>
            <w:right w:w="108" w:type="dxa"/>
          </w:tblCellMar>
        </w:tblPrEx>
        <w:trPr>
          <w:trHeight w:val="860" w:hRule="atLeast"/>
          <w:jc w:val="center"/>
        </w:trPr>
        <w:tc>
          <w:tcPr>
            <w:tcW w:w="0" w:type="auto"/>
            <w:gridSpan w:val="10"/>
            <w:vAlign w:val="center"/>
          </w:tcPr>
          <w:p>
            <w:pPr>
              <w:spacing w:line="560" w:lineRule="exact"/>
              <w:rPr>
                <w:rFonts w:ascii="方正小标宋简体" w:hAnsi="华文中宋"/>
                <w:bCs/>
                <w:spacing w:val="20"/>
                <w:sz w:val="44"/>
                <w:szCs w:val="44"/>
              </w:rPr>
            </w:pPr>
          </w:p>
          <w:p>
            <w:pPr>
              <w:spacing w:line="560" w:lineRule="exact"/>
              <w:jc w:val="center"/>
              <w:rPr>
                <w:rFonts w:hint="eastAsia" w:ascii="方正小标宋简体" w:hAnsi="方正小标宋简体"/>
                <w:bCs/>
                <w:spacing w:val="20"/>
                <w:sz w:val="44"/>
                <w:szCs w:val="44"/>
              </w:rPr>
            </w:pPr>
          </w:p>
          <w:p>
            <w:pPr>
              <w:spacing w:line="560" w:lineRule="exact"/>
              <w:jc w:val="center"/>
              <w:rPr>
                <w:rFonts w:hint="eastAsia" w:ascii="方正小标宋简体" w:hAnsi="方正小标宋简体"/>
                <w:bCs/>
                <w:spacing w:val="20"/>
                <w:sz w:val="44"/>
                <w:szCs w:val="44"/>
              </w:rPr>
            </w:pPr>
          </w:p>
          <w:p>
            <w:pPr>
              <w:spacing w:line="560" w:lineRule="exact"/>
              <w:jc w:val="center"/>
              <w:rPr>
                <w:rFonts w:hint="eastAsia" w:ascii="方正小标宋简体" w:hAnsi="方正小标宋简体"/>
                <w:bCs/>
                <w:spacing w:val="20"/>
                <w:sz w:val="44"/>
                <w:szCs w:val="44"/>
              </w:rPr>
            </w:pPr>
          </w:p>
          <w:p>
            <w:pPr>
              <w:spacing w:line="560" w:lineRule="exact"/>
              <w:jc w:val="center"/>
              <w:rPr>
                <w:rFonts w:hint="eastAsia" w:ascii="方正小标宋简体" w:hAnsi="方正小标宋简体"/>
                <w:bCs/>
                <w:spacing w:val="20"/>
                <w:sz w:val="44"/>
                <w:szCs w:val="44"/>
              </w:rPr>
            </w:pPr>
          </w:p>
          <w:p>
            <w:pPr>
              <w:spacing w:line="560" w:lineRule="exact"/>
              <w:jc w:val="center"/>
              <w:rPr>
                <w:rFonts w:hint="eastAsia" w:ascii="方正小标宋简体" w:hAnsi="方正小标宋简体"/>
                <w:bCs/>
                <w:spacing w:val="20"/>
                <w:sz w:val="44"/>
                <w:szCs w:val="44"/>
              </w:rPr>
            </w:pPr>
          </w:p>
          <w:p>
            <w:pPr>
              <w:spacing w:line="560" w:lineRule="exact"/>
              <w:jc w:val="center"/>
              <w:rPr>
                <w:rFonts w:hint="eastAsia" w:ascii="方正小标宋简体" w:hAnsi="方正小标宋简体"/>
                <w:bCs/>
                <w:spacing w:val="20"/>
                <w:sz w:val="44"/>
                <w:szCs w:val="44"/>
              </w:rPr>
            </w:pPr>
          </w:p>
          <w:p>
            <w:pPr>
              <w:spacing w:line="560" w:lineRule="exact"/>
              <w:jc w:val="center"/>
              <w:rPr>
                <w:rFonts w:hint="eastAsia" w:ascii="方正小标宋简体" w:hAnsi="方正小标宋简体"/>
                <w:bCs/>
                <w:spacing w:val="20"/>
                <w:sz w:val="44"/>
                <w:szCs w:val="44"/>
              </w:rPr>
            </w:pPr>
          </w:p>
          <w:p>
            <w:pPr>
              <w:spacing w:line="560" w:lineRule="exact"/>
              <w:jc w:val="center"/>
              <w:rPr>
                <w:rFonts w:hint="eastAsia" w:ascii="方正小标宋简体" w:hAnsi="方正小标宋简体"/>
                <w:bCs/>
                <w:spacing w:val="20"/>
                <w:sz w:val="44"/>
                <w:szCs w:val="44"/>
              </w:rPr>
            </w:pPr>
          </w:p>
          <w:p>
            <w:pPr>
              <w:spacing w:line="560" w:lineRule="exact"/>
              <w:jc w:val="center"/>
              <w:rPr>
                <w:rFonts w:hint="eastAsia" w:ascii="方正小标宋简体" w:hAnsi="方正小标宋简体"/>
                <w:bCs/>
                <w:spacing w:val="20"/>
                <w:sz w:val="44"/>
                <w:szCs w:val="44"/>
              </w:rPr>
            </w:pPr>
          </w:p>
          <w:p>
            <w:pPr>
              <w:spacing w:line="560" w:lineRule="exact"/>
              <w:jc w:val="center"/>
              <w:rPr>
                <w:rFonts w:hint="eastAsia" w:ascii="方正小标宋简体" w:hAnsi="方正小标宋简体"/>
                <w:bCs/>
                <w:spacing w:val="20"/>
                <w:sz w:val="44"/>
                <w:szCs w:val="44"/>
              </w:rPr>
            </w:pPr>
          </w:p>
          <w:p>
            <w:pPr>
              <w:spacing w:line="560" w:lineRule="exact"/>
              <w:jc w:val="center"/>
              <w:rPr>
                <w:rFonts w:hint="eastAsia" w:ascii="方正小标宋简体" w:hAnsi="方正小标宋简体"/>
                <w:bCs/>
                <w:spacing w:val="20"/>
                <w:sz w:val="44"/>
                <w:szCs w:val="44"/>
              </w:rPr>
            </w:pPr>
          </w:p>
          <w:p>
            <w:pPr>
              <w:spacing w:line="560" w:lineRule="exact"/>
              <w:jc w:val="center"/>
              <w:rPr>
                <w:rFonts w:hint="eastAsia" w:ascii="方正小标宋简体" w:hAnsi="方正小标宋简体"/>
                <w:bCs/>
                <w:spacing w:val="20"/>
                <w:sz w:val="44"/>
                <w:szCs w:val="44"/>
              </w:rPr>
            </w:pPr>
          </w:p>
          <w:p>
            <w:pPr>
              <w:spacing w:line="560" w:lineRule="exact"/>
              <w:jc w:val="center"/>
              <w:rPr>
                <w:rFonts w:hint="eastAsia" w:ascii="方正小标宋简体" w:hAnsi="方正小标宋简体"/>
                <w:bCs/>
                <w:spacing w:val="20"/>
                <w:sz w:val="44"/>
                <w:szCs w:val="44"/>
              </w:rPr>
            </w:pPr>
          </w:p>
          <w:p>
            <w:pPr>
              <w:spacing w:line="560" w:lineRule="exact"/>
              <w:jc w:val="center"/>
              <w:rPr>
                <w:rFonts w:hint="eastAsia" w:ascii="方正小标宋简体" w:hAnsi="方正小标宋简体"/>
                <w:bCs/>
                <w:spacing w:val="20"/>
                <w:sz w:val="44"/>
                <w:szCs w:val="44"/>
              </w:rPr>
            </w:pPr>
          </w:p>
          <w:p>
            <w:pPr>
              <w:spacing w:line="560" w:lineRule="exact"/>
              <w:jc w:val="center"/>
              <w:rPr>
                <w:rFonts w:hint="eastAsia" w:ascii="方正小标宋简体" w:hAnsi="方正小标宋简体"/>
                <w:bCs/>
                <w:spacing w:val="20"/>
                <w:sz w:val="44"/>
                <w:szCs w:val="44"/>
              </w:rPr>
            </w:pPr>
          </w:p>
          <w:p>
            <w:pPr>
              <w:spacing w:line="560" w:lineRule="exact"/>
              <w:jc w:val="center"/>
              <w:rPr>
                <w:rFonts w:hint="eastAsia" w:ascii="方正小标宋简体" w:hAnsi="方正小标宋简体"/>
                <w:bCs/>
                <w:spacing w:val="20"/>
                <w:sz w:val="44"/>
                <w:szCs w:val="44"/>
              </w:rPr>
            </w:pPr>
          </w:p>
          <w:p>
            <w:pPr>
              <w:spacing w:line="560" w:lineRule="exact"/>
              <w:jc w:val="center"/>
              <w:rPr>
                <w:rFonts w:hint="eastAsia" w:ascii="方正小标宋简体" w:hAnsi="方正小标宋简体"/>
                <w:bCs/>
                <w:spacing w:val="20"/>
                <w:sz w:val="44"/>
                <w:szCs w:val="44"/>
              </w:rPr>
            </w:pPr>
          </w:p>
          <w:p>
            <w:pPr>
              <w:spacing w:line="560" w:lineRule="exact"/>
              <w:jc w:val="center"/>
              <w:rPr>
                <w:rFonts w:hint="eastAsia" w:ascii="方正小标宋简体" w:hAnsi="方正小标宋简体"/>
                <w:bCs/>
                <w:spacing w:val="20"/>
                <w:sz w:val="44"/>
                <w:szCs w:val="44"/>
              </w:rPr>
            </w:pPr>
          </w:p>
          <w:p>
            <w:pPr>
              <w:spacing w:line="560" w:lineRule="exact"/>
              <w:jc w:val="center"/>
              <w:rPr>
                <w:rFonts w:hint="eastAsia" w:ascii="方正小标宋简体" w:hAnsi="方正小标宋简体"/>
                <w:bCs/>
                <w:spacing w:val="20"/>
                <w:sz w:val="44"/>
                <w:szCs w:val="44"/>
              </w:rPr>
            </w:pPr>
          </w:p>
          <w:p>
            <w:pPr>
              <w:spacing w:line="560" w:lineRule="exact"/>
              <w:jc w:val="center"/>
              <w:rPr>
                <w:rFonts w:ascii="方正小标宋简体" w:hAnsi="华文中宋"/>
                <w:bCs/>
                <w:sz w:val="44"/>
                <w:szCs w:val="44"/>
              </w:rPr>
            </w:pPr>
            <w:r>
              <w:rPr>
                <w:rFonts w:hint="eastAsia" w:ascii="方正小标宋简体" w:hAnsi="方正小标宋简体"/>
                <w:bCs/>
                <w:spacing w:val="20"/>
                <w:sz w:val="44"/>
                <w:szCs w:val="44"/>
              </w:rPr>
              <w:t>项目支出绩效自评表</w:t>
            </w:r>
          </w:p>
        </w:tc>
      </w:tr>
      <w:tr>
        <w:tblPrEx>
          <w:tblCellMar>
            <w:top w:w="0" w:type="dxa"/>
            <w:left w:w="108" w:type="dxa"/>
            <w:bottom w:w="0" w:type="dxa"/>
            <w:right w:w="108" w:type="dxa"/>
          </w:tblCellMar>
        </w:tblPrEx>
        <w:trPr>
          <w:trHeight w:val="293" w:hRule="atLeast"/>
          <w:jc w:val="center"/>
        </w:trPr>
        <w:tc>
          <w:tcPr>
            <w:tcW w:w="0" w:type="auto"/>
            <w:gridSpan w:val="10"/>
          </w:tcPr>
          <w:p>
            <w:pPr>
              <w:spacing w:line="400" w:lineRule="exact"/>
              <w:jc w:val="center"/>
              <w:rPr>
                <w:rFonts w:ascii="Times New Roman" w:hAnsi="Times New Roman" w:cs="Times New Roman"/>
              </w:rPr>
            </w:pPr>
            <w:r>
              <w:rPr>
                <w:rFonts w:hint="eastAsia" w:ascii="方正楷体简体" w:hAnsi="方正楷体简体"/>
                <w:sz w:val="32"/>
                <w:szCs w:val="32"/>
              </w:rPr>
              <w:t>（</w:t>
            </w:r>
            <w:r>
              <w:rPr>
                <w:rFonts w:ascii="方正楷体简体" w:hAnsi="方正楷体简体"/>
                <w:sz w:val="32"/>
                <w:szCs w:val="32"/>
              </w:rPr>
              <w:t>2022</w:t>
            </w:r>
            <w:r>
              <w:rPr>
                <w:rFonts w:hint="eastAsia" w:ascii="方正楷体简体" w:hAnsi="方正楷体简体"/>
                <w:sz w:val="32"/>
                <w:szCs w:val="32"/>
              </w:rPr>
              <w:t>年度）</w:t>
            </w:r>
          </w:p>
        </w:tc>
      </w:tr>
      <w:tr>
        <w:tblPrEx>
          <w:tblCellMar>
            <w:top w:w="0" w:type="dxa"/>
            <w:left w:w="108" w:type="dxa"/>
            <w:bottom w:w="0" w:type="dxa"/>
            <w:right w:w="108" w:type="dxa"/>
          </w:tblCellMar>
        </w:tblPrEx>
        <w:trPr>
          <w:trHeight w:val="28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项目名称</w:t>
            </w:r>
          </w:p>
        </w:tc>
        <w:tc>
          <w:tcPr>
            <w:tcW w:w="0" w:type="auto"/>
            <w:gridSpan w:val="9"/>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公文系统升级改造项目</w:t>
            </w:r>
          </w:p>
        </w:tc>
      </w:tr>
      <w:tr>
        <w:tblPrEx>
          <w:tblCellMar>
            <w:top w:w="0" w:type="dxa"/>
            <w:left w:w="108" w:type="dxa"/>
            <w:bottom w:w="0" w:type="dxa"/>
            <w:right w:w="108" w:type="dxa"/>
          </w:tblCellMar>
        </w:tblPrEx>
        <w:trPr>
          <w:trHeight w:val="28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主管部门及代码</w:t>
            </w:r>
          </w:p>
        </w:tc>
        <w:tc>
          <w:tcPr>
            <w:tcW w:w="2592" w:type="dxa"/>
            <w:gridSpan w:val="5"/>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市财政局工交科　</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实施单位</w:t>
            </w:r>
          </w:p>
        </w:tc>
        <w:tc>
          <w:tcPr>
            <w:tcW w:w="0" w:type="auto"/>
            <w:gridSpan w:val="3"/>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包头市国资委　</w:t>
            </w:r>
          </w:p>
        </w:tc>
      </w:tr>
      <w:tr>
        <w:tblPrEx>
          <w:tblCellMar>
            <w:top w:w="0" w:type="dxa"/>
            <w:left w:w="108" w:type="dxa"/>
            <w:bottom w:w="0" w:type="dxa"/>
            <w:right w:w="108" w:type="dxa"/>
          </w:tblCellMar>
        </w:tblPrEx>
        <w:trPr>
          <w:trHeight w:val="284" w:hRule="atLeast"/>
          <w:jc w:val="center"/>
        </w:trPr>
        <w:tc>
          <w:tcPr>
            <w:tcW w:w="0" w:type="auto"/>
            <w:vMerge w:val="restart"/>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项目资金</w:t>
            </w:r>
            <w:r>
              <w:rPr>
                <w:rFonts w:hint="eastAsia"/>
                <w:sz w:val="18"/>
                <w:szCs w:val="18"/>
              </w:rPr>
              <w:br w:type="textWrapping"/>
            </w:r>
            <w:r>
              <w:rPr>
                <w:rFonts w:hint="eastAsia"/>
                <w:sz w:val="18"/>
                <w:szCs w:val="18"/>
              </w:rPr>
              <w:t>（万元）</w:t>
            </w:r>
          </w:p>
        </w:tc>
        <w:tc>
          <w:tcPr>
            <w:tcW w:w="0" w:type="auto"/>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年初预算数</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全年预算数</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全年执行数</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分值</w:t>
            </w:r>
          </w:p>
        </w:tc>
        <w:tc>
          <w:tcPr>
            <w:tcW w:w="1135"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执行率</w:t>
            </w:r>
          </w:p>
        </w:tc>
        <w:tc>
          <w:tcPr>
            <w:tcW w:w="245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得分</w:t>
            </w:r>
          </w:p>
        </w:tc>
      </w:tr>
      <w:tr>
        <w:tblPrEx>
          <w:tblCellMar>
            <w:top w:w="0" w:type="dxa"/>
            <w:left w:w="108" w:type="dxa"/>
            <w:bottom w:w="0" w:type="dxa"/>
            <w:right w:w="108" w:type="dxa"/>
          </w:tblCellMar>
        </w:tblPrEx>
        <w:trPr>
          <w:trHeight w:val="28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gridSpan w:val="2"/>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sz w:val="18"/>
                <w:szCs w:val="18"/>
              </w:rPr>
              <w:t>年度资金总额</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4.20</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w:t>
            </w:r>
          </w:p>
        </w:tc>
        <w:tc>
          <w:tcPr>
            <w:tcW w:w="1135"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245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r>
      <w:tr>
        <w:tblPrEx>
          <w:tblCellMar>
            <w:top w:w="0" w:type="dxa"/>
            <w:left w:w="108" w:type="dxa"/>
            <w:bottom w:w="0" w:type="dxa"/>
            <w:right w:w="108" w:type="dxa"/>
          </w:tblCellMar>
        </w:tblPrEx>
        <w:trPr>
          <w:trHeight w:val="28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其中：财政拨款</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4.20　</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c>
          <w:tcPr>
            <w:tcW w:w="1135"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245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r>
      <w:tr>
        <w:tblPrEx>
          <w:tblCellMar>
            <w:top w:w="0" w:type="dxa"/>
            <w:left w:w="108" w:type="dxa"/>
            <w:bottom w:w="0" w:type="dxa"/>
            <w:right w:w="108" w:type="dxa"/>
          </w:tblCellMar>
        </w:tblPrEx>
        <w:trPr>
          <w:trHeight w:val="28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xml:space="preserve">     其他资金</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c>
          <w:tcPr>
            <w:tcW w:w="1135"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245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r>
      <w:tr>
        <w:tblPrEx>
          <w:tblCellMar>
            <w:top w:w="0" w:type="dxa"/>
            <w:left w:w="108" w:type="dxa"/>
            <w:bottom w:w="0" w:type="dxa"/>
            <w:right w:w="108" w:type="dxa"/>
          </w:tblCellMar>
        </w:tblPrEx>
        <w:trPr>
          <w:trHeight w:val="284" w:hRule="atLeast"/>
          <w:jc w:val="center"/>
        </w:trPr>
        <w:tc>
          <w:tcPr>
            <w:tcW w:w="0" w:type="auto"/>
            <w:vMerge w:val="restart"/>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年度总体目标</w:t>
            </w:r>
          </w:p>
        </w:tc>
        <w:tc>
          <w:tcPr>
            <w:tcW w:w="2592" w:type="dxa"/>
            <w:gridSpan w:val="5"/>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预期目标</w:t>
            </w:r>
          </w:p>
        </w:tc>
        <w:tc>
          <w:tcPr>
            <w:tcW w:w="5122" w:type="dxa"/>
            <w:gridSpan w:val="4"/>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实际完成情况</w:t>
            </w:r>
          </w:p>
        </w:tc>
      </w:tr>
      <w:tr>
        <w:tblPrEx>
          <w:tblCellMar>
            <w:top w:w="0" w:type="dxa"/>
            <w:left w:w="108" w:type="dxa"/>
            <w:bottom w:w="0" w:type="dxa"/>
            <w:right w:w="108" w:type="dxa"/>
          </w:tblCellMar>
        </w:tblPrEx>
        <w:trPr>
          <w:trHeight w:val="21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2592" w:type="dxa"/>
            <w:gridSpan w:val="5"/>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color w:val="000000"/>
                <w:sz w:val="18"/>
                <w:szCs w:val="18"/>
              </w:rPr>
              <w:t>为实现电子公文升级改造工程顺利完成，工作时提高使用效率。</w:t>
            </w:r>
          </w:p>
        </w:tc>
        <w:tc>
          <w:tcPr>
            <w:tcW w:w="5122" w:type="dxa"/>
            <w:gridSpan w:val="4"/>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color w:val="000000"/>
                <w:sz w:val="18"/>
                <w:szCs w:val="18"/>
              </w:rPr>
              <w:t>为实现电子公文升级改造工程顺利完成，工作时提高使用效率。</w:t>
            </w:r>
          </w:p>
        </w:tc>
      </w:tr>
      <w:tr>
        <w:tblPrEx>
          <w:tblCellMar>
            <w:top w:w="0" w:type="dxa"/>
            <w:left w:w="108" w:type="dxa"/>
            <w:bottom w:w="0" w:type="dxa"/>
            <w:right w:w="108" w:type="dxa"/>
          </w:tblCellMar>
        </w:tblPrEx>
        <w:trPr>
          <w:cantSplit/>
          <w:trHeight w:val="505" w:hRule="atLeast"/>
          <w:jc w:val="center"/>
        </w:trPr>
        <w:tc>
          <w:tcPr>
            <w:tcW w:w="0" w:type="auto"/>
            <w:vMerge w:val="restart"/>
            <w:tcBorders>
              <w:top w:val="nil"/>
              <w:left w:val="single" w:color="auto" w:sz="4" w:space="0"/>
              <w:bottom w:val="single" w:color="auto" w:sz="4" w:space="0"/>
              <w:right w:val="single" w:color="auto" w:sz="4" w:space="0"/>
            </w:tcBorders>
            <w:vAlign w:val="center"/>
          </w:tcPr>
          <w:p>
            <w:pPr>
              <w:spacing w:line="280" w:lineRule="exact"/>
              <w:jc w:val="center"/>
              <w:rPr>
                <w:sz w:val="18"/>
                <w:szCs w:val="18"/>
              </w:rPr>
            </w:pPr>
            <w:r>
              <w:rPr>
                <w:rFonts w:hint="eastAsia"/>
                <w:sz w:val="18"/>
                <w:szCs w:val="18"/>
              </w:rPr>
              <w:t>绩  效  指  标（60）</w:t>
            </w:r>
          </w:p>
        </w:tc>
        <w:tc>
          <w:tcPr>
            <w:tcW w:w="0" w:type="auto"/>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一级指标</w:t>
            </w:r>
          </w:p>
        </w:tc>
        <w:tc>
          <w:tcPr>
            <w:tcW w:w="0" w:type="auto"/>
            <w:gridSpan w:val="2"/>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二级指标</w:t>
            </w:r>
          </w:p>
        </w:tc>
        <w:tc>
          <w:tcPr>
            <w:tcW w:w="0" w:type="auto"/>
            <w:tcBorders>
              <w:top w:val="single" w:color="auto" w:sz="4" w:space="0"/>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三级指标</w:t>
            </w:r>
          </w:p>
        </w:tc>
        <w:tc>
          <w:tcPr>
            <w:tcW w:w="633" w:type="dxa"/>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年度指标值</w:t>
            </w:r>
          </w:p>
        </w:tc>
        <w:tc>
          <w:tcPr>
            <w:tcW w:w="640" w:type="dxa"/>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实际完成值</w:t>
            </w:r>
          </w:p>
        </w:tc>
        <w:tc>
          <w:tcPr>
            <w:tcW w:w="897" w:type="dxa"/>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分值</w:t>
            </w:r>
          </w:p>
        </w:tc>
        <w:tc>
          <w:tcPr>
            <w:tcW w:w="1135" w:type="dxa"/>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得分</w:t>
            </w:r>
          </w:p>
        </w:tc>
        <w:tc>
          <w:tcPr>
            <w:tcW w:w="2450" w:type="dxa"/>
            <w:tcBorders>
              <w:top w:val="single" w:color="auto" w:sz="4" w:space="0"/>
              <w:left w:val="nil"/>
              <w:bottom w:val="single" w:color="auto" w:sz="4" w:space="0"/>
              <w:right w:val="single" w:color="auto" w:sz="4" w:space="0"/>
            </w:tcBorders>
            <w:vAlign w:val="center"/>
          </w:tcPr>
          <w:p>
            <w:pPr>
              <w:spacing w:line="220" w:lineRule="exact"/>
              <w:jc w:val="center"/>
              <w:rPr>
                <w:sz w:val="18"/>
                <w:szCs w:val="18"/>
              </w:rPr>
            </w:pPr>
          </w:p>
        </w:tc>
      </w:tr>
      <w:tr>
        <w:tblPrEx>
          <w:tblCellMar>
            <w:top w:w="0" w:type="dxa"/>
            <w:left w:w="108" w:type="dxa"/>
            <w:bottom w:w="0" w:type="dxa"/>
            <w:right w:w="108" w:type="dxa"/>
          </w:tblCellMar>
        </w:tblPrEx>
        <w:trPr>
          <w:trHeight w:val="53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restart"/>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产出指标（50）</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数量指标</w:t>
            </w:r>
          </w:p>
        </w:tc>
        <w:tc>
          <w:tcPr>
            <w:tcW w:w="0" w:type="auto"/>
            <w:tcBorders>
              <w:top w:val="single" w:color="auto" w:sz="4" w:space="0"/>
              <w:left w:val="nil"/>
              <w:bottom w:val="single" w:color="auto" w:sz="4" w:space="0"/>
              <w:right w:val="single" w:color="auto" w:sz="4" w:space="0"/>
            </w:tcBorders>
            <w:vAlign w:val="center"/>
          </w:tcPr>
          <w:p>
            <w:pPr>
              <w:pStyle w:val="14"/>
              <w:ind w:left="0" w:leftChars="0" w:firstLine="0"/>
              <w:rPr>
                <w:rFonts w:cs="Times New Roman"/>
                <w:sz w:val="18"/>
                <w:szCs w:val="18"/>
              </w:rPr>
            </w:pPr>
            <w:r>
              <w:rPr>
                <w:rFonts w:hint="eastAsia" w:cs="Times New Roman"/>
                <w:sz w:val="18"/>
                <w:szCs w:val="18"/>
              </w:rPr>
              <w:t>完成电子公文升级改造</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50台</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15　</w:t>
            </w:r>
          </w:p>
        </w:tc>
        <w:tc>
          <w:tcPr>
            <w:tcW w:w="113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15　</w:t>
            </w:r>
          </w:p>
        </w:tc>
        <w:tc>
          <w:tcPr>
            <w:tcW w:w="2450"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color w:val="000000"/>
                <w:sz w:val="18"/>
                <w:szCs w:val="18"/>
              </w:rPr>
              <w:t>确保资金足额拨付</w:t>
            </w:r>
          </w:p>
        </w:tc>
      </w:tr>
      <w:tr>
        <w:tblPrEx>
          <w:tblCellMar>
            <w:top w:w="0" w:type="dxa"/>
            <w:left w:w="108" w:type="dxa"/>
            <w:bottom w:w="0" w:type="dxa"/>
            <w:right w:w="108" w:type="dxa"/>
          </w:tblCellMar>
        </w:tblPrEx>
        <w:trPr>
          <w:trHeight w:val="55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continue"/>
            <w:tcBorders>
              <w:top w:val="nil"/>
              <w:left w:val="nil"/>
              <w:bottom w:val="single" w:color="auto" w:sz="4" w:space="0"/>
              <w:right w:val="single" w:color="auto" w:sz="4" w:space="0"/>
            </w:tcBorders>
            <w:vAlign w:val="center"/>
          </w:tcPr>
          <w:p>
            <w:pPr>
              <w:rPr>
                <w:sz w:val="18"/>
                <w:szCs w:val="18"/>
              </w:rPr>
            </w:pP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质量指标</w:t>
            </w:r>
          </w:p>
        </w:tc>
        <w:tc>
          <w:tcPr>
            <w:tcW w:w="0" w:type="auto"/>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r>
              <w:rPr>
                <w:rFonts w:hint="eastAsia"/>
                <w:sz w:val="18"/>
                <w:szCs w:val="18"/>
              </w:rPr>
              <w:t>资金拨付及时率</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20　</w:t>
            </w:r>
          </w:p>
        </w:tc>
        <w:tc>
          <w:tcPr>
            <w:tcW w:w="113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20</w:t>
            </w:r>
          </w:p>
        </w:tc>
        <w:tc>
          <w:tcPr>
            <w:tcW w:w="2450"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sz w:val="18"/>
                <w:szCs w:val="18"/>
              </w:rPr>
              <w:t>确保资金及时拨付</w:t>
            </w:r>
          </w:p>
        </w:tc>
      </w:tr>
      <w:tr>
        <w:tblPrEx>
          <w:tblCellMar>
            <w:top w:w="0" w:type="dxa"/>
            <w:left w:w="108" w:type="dxa"/>
            <w:bottom w:w="0" w:type="dxa"/>
            <w:right w:w="108" w:type="dxa"/>
          </w:tblCellMar>
        </w:tblPrEx>
        <w:trPr>
          <w:trHeight w:val="552"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continue"/>
            <w:tcBorders>
              <w:top w:val="nil"/>
              <w:left w:val="nil"/>
              <w:bottom w:val="single" w:color="auto" w:sz="4" w:space="0"/>
              <w:right w:val="single" w:color="auto" w:sz="4" w:space="0"/>
            </w:tcBorders>
            <w:vAlign w:val="center"/>
          </w:tcPr>
          <w:p>
            <w:pPr>
              <w:rPr>
                <w:sz w:val="18"/>
                <w:szCs w:val="18"/>
              </w:rPr>
            </w:pP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时效指标</w:t>
            </w:r>
          </w:p>
        </w:tc>
        <w:tc>
          <w:tcPr>
            <w:tcW w:w="0" w:type="auto"/>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r>
              <w:rPr>
                <w:rFonts w:hint="eastAsia"/>
                <w:sz w:val="18"/>
                <w:szCs w:val="18"/>
              </w:rPr>
              <w:t>预算执行情况</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15　</w:t>
            </w:r>
          </w:p>
        </w:tc>
        <w:tc>
          <w:tcPr>
            <w:tcW w:w="113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15</w:t>
            </w:r>
          </w:p>
        </w:tc>
        <w:tc>
          <w:tcPr>
            <w:tcW w:w="2450"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sz w:val="18"/>
                <w:szCs w:val="18"/>
              </w:rPr>
              <w:t>确保资金于年度内全额发放完成　</w:t>
            </w:r>
          </w:p>
        </w:tc>
      </w:tr>
      <w:tr>
        <w:tblPrEx>
          <w:tblCellMar>
            <w:top w:w="0" w:type="dxa"/>
            <w:left w:w="108" w:type="dxa"/>
            <w:bottom w:w="0" w:type="dxa"/>
            <w:right w:w="108" w:type="dxa"/>
          </w:tblCellMar>
        </w:tblPrEx>
        <w:trPr>
          <w:trHeight w:val="83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tcBorders>
              <w:top w:val="nil"/>
              <w:left w:val="nil"/>
              <w:bottom w:val="single" w:color="auto" w:sz="4" w:space="0"/>
              <w:right w:val="single" w:color="auto" w:sz="4" w:space="0"/>
            </w:tcBorders>
            <w:vAlign w:val="center"/>
          </w:tcPr>
          <w:p>
            <w:pPr>
              <w:spacing w:line="200" w:lineRule="exact"/>
              <w:jc w:val="center"/>
              <w:rPr>
                <w:sz w:val="18"/>
                <w:szCs w:val="18"/>
              </w:rPr>
            </w:pPr>
            <w:r>
              <w:rPr>
                <w:rFonts w:hint="eastAsia"/>
                <w:sz w:val="18"/>
                <w:szCs w:val="18"/>
              </w:rPr>
              <w:t>满意度</w:t>
            </w:r>
          </w:p>
          <w:p>
            <w:pPr>
              <w:spacing w:line="200" w:lineRule="exact"/>
              <w:jc w:val="center"/>
              <w:rPr>
                <w:sz w:val="18"/>
                <w:szCs w:val="18"/>
              </w:rPr>
            </w:pPr>
            <w:r>
              <w:rPr>
                <w:rFonts w:hint="eastAsia"/>
                <w:sz w:val="18"/>
                <w:szCs w:val="18"/>
              </w:rPr>
              <w:t>指标（10）</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服务对象</w:t>
            </w:r>
          </w:p>
          <w:p>
            <w:pPr>
              <w:spacing w:line="240" w:lineRule="exact"/>
              <w:jc w:val="center"/>
              <w:rPr>
                <w:sz w:val="18"/>
                <w:szCs w:val="18"/>
              </w:rPr>
            </w:pPr>
            <w:r>
              <w:rPr>
                <w:rFonts w:hint="eastAsia"/>
                <w:sz w:val="18"/>
                <w:szCs w:val="18"/>
              </w:rPr>
              <w:t>满意度指标</w:t>
            </w:r>
          </w:p>
        </w:tc>
        <w:tc>
          <w:tcPr>
            <w:tcW w:w="0" w:type="auto"/>
            <w:tcBorders>
              <w:top w:val="single" w:color="auto" w:sz="4" w:space="0"/>
              <w:left w:val="nil"/>
              <w:bottom w:val="single" w:color="auto" w:sz="4" w:space="0"/>
              <w:right w:val="single" w:color="auto" w:sz="4" w:space="0"/>
            </w:tcBorders>
          </w:tcPr>
          <w:p>
            <w:pPr>
              <w:adjustRightInd w:val="0"/>
              <w:spacing w:before="100" w:beforeAutospacing="1" w:after="100" w:afterAutospacing="1"/>
              <w:rPr>
                <w:sz w:val="18"/>
                <w:szCs w:val="18"/>
              </w:rPr>
            </w:pPr>
            <w:r>
              <w:rPr>
                <w:rFonts w:hint="eastAsia"/>
                <w:sz w:val="18"/>
                <w:szCs w:val="18"/>
              </w:rPr>
              <w:t>节约成本实现保护资源作用提高工作效率</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c>
          <w:tcPr>
            <w:tcW w:w="113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w:t>
            </w:r>
          </w:p>
        </w:tc>
        <w:tc>
          <w:tcPr>
            <w:tcW w:w="2450"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color w:val="000000"/>
                <w:sz w:val="18"/>
                <w:szCs w:val="18"/>
              </w:rPr>
              <w:t>高效完成改造。</w:t>
            </w:r>
          </w:p>
        </w:tc>
      </w:tr>
      <w:tr>
        <w:tblPrEx>
          <w:tblCellMar>
            <w:top w:w="0" w:type="dxa"/>
            <w:left w:w="108" w:type="dxa"/>
            <w:bottom w:w="0" w:type="dxa"/>
            <w:right w:w="108" w:type="dxa"/>
          </w:tblCellMar>
        </w:tblPrEx>
        <w:trPr>
          <w:trHeight w:val="284" w:hRule="atLeast"/>
          <w:jc w:val="center"/>
        </w:trPr>
        <w:tc>
          <w:tcPr>
            <w:tcW w:w="0" w:type="auto"/>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总    分</w:t>
            </w:r>
          </w:p>
        </w:tc>
        <w:tc>
          <w:tcPr>
            <w:tcW w:w="897" w:type="dxa"/>
            <w:tcBorders>
              <w:top w:val="nil"/>
              <w:left w:val="nil"/>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60</w:t>
            </w:r>
          </w:p>
        </w:tc>
        <w:tc>
          <w:tcPr>
            <w:tcW w:w="1135" w:type="dxa"/>
            <w:tcBorders>
              <w:top w:val="nil"/>
              <w:left w:val="nil"/>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60</w:t>
            </w:r>
          </w:p>
        </w:tc>
        <w:tc>
          <w:tcPr>
            <w:tcW w:w="2450"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w:t>
            </w:r>
          </w:p>
        </w:tc>
      </w:tr>
    </w:tbl>
    <w:p>
      <w:pPr>
        <w:ind w:firstLine="643"/>
        <w:jc w:val="both"/>
        <w:rPr>
          <w:rFonts w:ascii="楷体" w:hAnsi="楷体" w:eastAsia="楷体"/>
          <w:b/>
          <w:kern w:val="2"/>
          <w:sz w:val="32"/>
          <w:szCs w:val="32"/>
        </w:rPr>
      </w:pPr>
    </w:p>
    <w:tbl>
      <w:tblPr>
        <w:tblStyle w:val="15"/>
        <w:tblW w:w="0" w:type="auto"/>
        <w:jc w:val="center"/>
        <w:tblLayout w:type="autofit"/>
        <w:tblCellMar>
          <w:top w:w="0" w:type="dxa"/>
          <w:left w:w="108" w:type="dxa"/>
          <w:bottom w:w="0" w:type="dxa"/>
          <w:right w:w="108" w:type="dxa"/>
        </w:tblCellMar>
      </w:tblPr>
      <w:tblGrid>
        <w:gridCol w:w="812"/>
        <w:gridCol w:w="788"/>
        <w:gridCol w:w="218"/>
        <w:gridCol w:w="218"/>
        <w:gridCol w:w="713"/>
        <w:gridCol w:w="633"/>
        <w:gridCol w:w="666"/>
        <w:gridCol w:w="897"/>
        <w:gridCol w:w="1135"/>
        <w:gridCol w:w="2451"/>
      </w:tblGrid>
      <w:tr>
        <w:tblPrEx>
          <w:tblCellMar>
            <w:top w:w="0" w:type="dxa"/>
            <w:left w:w="108" w:type="dxa"/>
            <w:bottom w:w="0" w:type="dxa"/>
            <w:right w:w="108" w:type="dxa"/>
          </w:tblCellMar>
        </w:tblPrEx>
        <w:trPr>
          <w:trHeight w:val="860" w:hRule="atLeast"/>
          <w:jc w:val="center"/>
        </w:trPr>
        <w:tc>
          <w:tcPr>
            <w:tcW w:w="0" w:type="auto"/>
            <w:gridSpan w:val="10"/>
            <w:vAlign w:val="center"/>
          </w:tcPr>
          <w:p>
            <w:pPr>
              <w:spacing w:line="560" w:lineRule="exact"/>
              <w:rPr>
                <w:rFonts w:ascii="方正小标宋简体" w:hAnsi="华文中宋"/>
                <w:bCs/>
                <w:spacing w:val="20"/>
                <w:sz w:val="44"/>
                <w:szCs w:val="44"/>
              </w:rPr>
            </w:pPr>
          </w:p>
          <w:p>
            <w:pPr>
              <w:spacing w:line="560" w:lineRule="exact"/>
              <w:jc w:val="center"/>
              <w:rPr>
                <w:rFonts w:ascii="方正小标宋简体" w:hAnsi="华文中宋"/>
                <w:bCs/>
                <w:sz w:val="44"/>
                <w:szCs w:val="44"/>
              </w:rPr>
            </w:pPr>
            <w:r>
              <w:rPr>
                <w:rFonts w:hint="eastAsia" w:ascii="方正小标宋简体" w:hAnsi="方正小标宋简体"/>
                <w:bCs/>
                <w:spacing w:val="20"/>
                <w:sz w:val="44"/>
                <w:szCs w:val="44"/>
              </w:rPr>
              <w:t>项目支出绩效自评表</w:t>
            </w:r>
          </w:p>
        </w:tc>
      </w:tr>
      <w:tr>
        <w:tblPrEx>
          <w:tblCellMar>
            <w:top w:w="0" w:type="dxa"/>
            <w:left w:w="108" w:type="dxa"/>
            <w:bottom w:w="0" w:type="dxa"/>
            <w:right w:w="108" w:type="dxa"/>
          </w:tblCellMar>
        </w:tblPrEx>
        <w:trPr>
          <w:trHeight w:val="293" w:hRule="atLeast"/>
          <w:jc w:val="center"/>
        </w:trPr>
        <w:tc>
          <w:tcPr>
            <w:tcW w:w="0" w:type="auto"/>
            <w:gridSpan w:val="10"/>
          </w:tcPr>
          <w:p>
            <w:pPr>
              <w:spacing w:line="400" w:lineRule="exact"/>
              <w:jc w:val="center"/>
              <w:rPr>
                <w:rFonts w:ascii="Times New Roman" w:hAnsi="Times New Roman" w:cs="Times New Roman"/>
              </w:rPr>
            </w:pPr>
            <w:r>
              <w:rPr>
                <w:rFonts w:hint="eastAsia" w:ascii="方正楷体简体" w:hAnsi="方正楷体简体"/>
                <w:sz w:val="32"/>
                <w:szCs w:val="32"/>
              </w:rPr>
              <w:t>（</w:t>
            </w:r>
            <w:r>
              <w:rPr>
                <w:rFonts w:ascii="方正楷体简体" w:hAnsi="方正楷体简体"/>
                <w:sz w:val="32"/>
                <w:szCs w:val="32"/>
              </w:rPr>
              <w:t>2022</w:t>
            </w:r>
            <w:r>
              <w:rPr>
                <w:rFonts w:hint="eastAsia" w:ascii="方正楷体简体" w:hAnsi="方正楷体简体"/>
                <w:sz w:val="32"/>
                <w:szCs w:val="32"/>
              </w:rPr>
              <w:t>年度）</w:t>
            </w:r>
          </w:p>
        </w:tc>
      </w:tr>
      <w:tr>
        <w:tblPrEx>
          <w:tblCellMar>
            <w:top w:w="0" w:type="dxa"/>
            <w:left w:w="108" w:type="dxa"/>
            <w:bottom w:w="0" w:type="dxa"/>
            <w:right w:w="108" w:type="dxa"/>
          </w:tblCellMar>
        </w:tblPrEx>
        <w:trPr>
          <w:trHeight w:val="28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项目名称</w:t>
            </w:r>
          </w:p>
        </w:tc>
        <w:tc>
          <w:tcPr>
            <w:tcW w:w="0" w:type="auto"/>
            <w:gridSpan w:val="9"/>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32"/>
                <w:szCs w:val="32"/>
              </w:rPr>
              <w:t>包头市集中供热环城北干线工程</w:t>
            </w:r>
          </w:p>
        </w:tc>
      </w:tr>
      <w:tr>
        <w:tblPrEx>
          <w:tblCellMar>
            <w:top w:w="0" w:type="dxa"/>
            <w:left w:w="108" w:type="dxa"/>
            <w:bottom w:w="0" w:type="dxa"/>
            <w:right w:w="108" w:type="dxa"/>
          </w:tblCellMar>
        </w:tblPrEx>
        <w:trPr>
          <w:trHeight w:val="28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主管部门及代码</w:t>
            </w:r>
          </w:p>
        </w:tc>
        <w:tc>
          <w:tcPr>
            <w:tcW w:w="2592" w:type="dxa"/>
            <w:gridSpan w:val="5"/>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市财政局工交科　</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实施单位</w:t>
            </w:r>
          </w:p>
        </w:tc>
        <w:tc>
          <w:tcPr>
            <w:tcW w:w="0" w:type="auto"/>
            <w:gridSpan w:val="3"/>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包头市国资委　</w:t>
            </w:r>
          </w:p>
        </w:tc>
      </w:tr>
      <w:tr>
        <w:tblPrEx>
          <w:tblCellMar>
            <w:top w:w="0" w:type="dxa"/>
            <w:left w:w="108" w:type="dxa"/>
            <w:bottom w:w="0" w:type="dxa"/>
            <w:right w:w="108" w:type="dxa"/>
          </w:tblCellMar>
        </w:tblPrEx>
        <w:trPr>
          <w:trHeight w:val="284" w:hRule="atLeast"/>
          <w:jc w:val="center"/>
        </w:trPr>
        <w:tc>
          <w:tcPr>
            <w:tcW w:w="0" w:type="auto"/>
            <w:vMerge w:val="restart"/>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项目资金</w:t>
            </w:r>
            <w:r>
              <w:rPr>
                <w:rFonts w:hint="eastAsia"/>
                <w:sz w:val="18"/>
                <w:szCs w:val="18"/>
              </w:rPr>
              <w:br w:type="textWrapping"/>
            </w:r>
            <w:r>
              <w:rPr>
                <w:rFonts w:hint="eastAsia"/>
                <w:sz w:val="18"/>
                <w:szCs w:val="18"/>
              </w:rPr>
              <w:t>（万元）</w:t>
            </w:r>
          </w:p>
        </w:tc>
        <w:tc>
          <w:tcPr>
            <w:tcW w:w="0" w:type="auto"/>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年初预算数</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全年预算数</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全年执行数</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分值</w:t>
            </w:r>
          </w:p>
        </w:tc>
        <w:tc>
          <w:tcPr>
            <w:tcW w:w="1135"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执行率</w:t>
            </w:r>
          </w:p>
        </w:tc>
        <w:tc>
          <w:tcPr>
            <w:tcW w:w="245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得分</w:t>
            </w:r>
          </w:p>
        </w:tc>
      </w:tr>
      <w:tr>
        <w:tblPrEx>
          <w:tblCellMar>
            <w:top w:w="0" w:type="dxa"/>
            <w:left w:w="108" w:type="dxa"/>
            <w:bottom w:w="0" w:type="dxa"/>
            <w:right w:w="108" w:type="dxa"/>
          </w:tblCellMar>
        </w:tblPrEx>
        <w:trPr>
          <w:trHeight w:val="28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gridSpan w:val="2"/>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sz w:val="18"/>
                <w:szCs w:val="18"/>
              </w:rPr>
              <w:t>年度资金总额</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30000</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w:t>
            </w:r>
          </w:p>
        </w:tc>
        <w:tc>
          <w:tcPr>
            <w:tcW w:w="1135"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245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r>
      <w:tr>
        <w:tblPrEx>
          <w:tblCellMar>
            <w:top w:w="0" w:type="dxa"/>
            <w:left w:w="108" w:type="dxa"/>
            <w:bottom w:w="0" w:type="dxa"/>
            <w:right w:w="108" w:type="dxa"/>
          </w:tblCellMar>
        </w:tblPrEx>
        <w:trPr>
          <w:trHeight w:val="28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其中：财政拨款</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30000　</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c>
          <w:tcPr>
            <w:tcW w:w="1135"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245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r>
      <w:tr>
        <w:tblPrEx>
          <w:tblCellMar>
            <w:top w:w="0" w:type="dxa"/>
            <w:left w:w="108" w:type="dxa"/>
            <w:bottom w:w="0" w:type="dxa"/>
            <w:right w:w="108" w:type="dxa"/>
          </w:tblCellMar>
        </w:tblPrEx>
        <w:trPr>
          <w:trHeight w:val="28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xml:space="preserve">     其他资金</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c>
          <w:tcPr>
            <w:tcW w:w="1135"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245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r>
      <w:tr>
        <w:tblPrEx>
          <w:tblCellMar>
            <w:top w:w="0" w:type="dxa"/>
            <w:left w:w="108" w:type="dxa"/>
            <w:bottom w:w="0" w:type="dxa"/>
            <w:right w:w="108" w:type="dxa"/>
          </w:tblCellMar>
        </w:tblPrEx>
        <w:trPr>
          <w:trHeight w:val="284" w:hRule="atLeast"/>
          <w:jc w:val="center"/>
        </w:trPr>
        <w:tc>
          <w:tcPr>
            <w:tcW w:w="0" w:type="auto"/>
            <w:vMerge w:val="restart"/>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年度总体目标</w:t>
            </w:r>
          </w:p>
        </w:tc>
        <w:tc>
          <w:tcPr>
            <w:tcW w:w="2592" w:type="dxa"/>
            <w:gridSpan w:val="5"/>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预期目标</w:t>
            </w:r>
          </w:p>
        </w:tc>
        <w:tc>
          <w:tcPr>
            <w:tcW w:w="5122" w:type="dxa"/>
            <w:gridSpan w:val="4"/>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实际完成情况</w:t>
            </w:r>
          </w:p>
        </w:tc>
      </w:tr>
      <w:tr>
        <w:tblPrEx>
          <w:tblCellMar>
            <w:top w:w="0" w:type="dxa"/>
            <w:left w:w="108" w:type="dxa"/>
            <w:bottom w:w="0" w:type="dxa"/>
            <w:right w:w="108" w:type="dxa"/>
          </w:tblCellMar>
        </w:tblPrEx>
        <w:trPr>
          <w:trHeight w:val="21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2592" w:type="dxa"/>
            <w:gridSpan w:val="5"/>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w:t>
            </w:r>
            <w:r>
              <w:rPr>
                <w:rFonts w:hint="eastAsia"/>
                <w:color w:val="000000"/>
                <w:sz w:val="18"/>
                <w:szCs w:val="18"/>
              </w:rPr>
              <w:t>该项目建成后可增加1600万平方米的供热面积及热能输送能力，对包头市政府提升供热市场的调控和保障能力具有十分重要的意义。可以缓解青、昆两区的供需矛盾，提高热源互补能力，保障居民正常用热，提高整个包头市的供热系统的安全性和可靠性，为集中供热系统的安全平稳运行奠定坚实的基础。</w:t>
            </w:r>
          </w:p>
        </w:tc>
        <w:tc>
          <w:tcPr>
            <w:tcW w:w="5122" w:type="dxa"/>
            <w:gridSpan w:val="4"/>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color w:val="000000"/>
                <w:sz w:val="18"/>
                <w:szCs w:val="18"/>
              </w:rPr>
              <w:t>该项目建成后可增加1600万平方米的供热面积及热能输送能力，对包头市政府提升供热市场的调控和保障能力具有十分重要的意义。可以缓解青、昆两区的供需矛盾，提高热源互补能力，保障居民正常用热，提高整个包头市的供热系统的安全性和可靠性，为集中供热系统的安全平稳运行奠定坚实的基础。</w:t>
            </w:r>
          </w:p>
        </w:tc>
      </w:tr>
      <w:tr>
        <w:tblPrEx>
          <w:tblCellMar>
            <w:top w:w="0" w:type="dxa"/>
            <w:left w:w="108" w:type="dxa"/>
            <w:bottom w:w="0" w:type="dxa"/>
            <w:right w:w="108" w:type="dxa"/>
          </w:tblCellMar>
        </w:tblPrEx>
        <w:trPr>
          <w:cantSplit/>
          <w:trHeight w:val="505" w:hRule="atLeast"/>
          <w:jc w:val="center"/>
        </w:trPr>
        <w:tc>
          <w:tcPr>
            <w:tcW w:w="0" w:type="auto"/>
            <w:vMerge w:val="restart"/>
            <w:tcBorders>
              <w:top w:val="nil"/>
              <w:left w:val="single" w:color="auto" w:sz="4" w:space="0"/>
              <w:bottom w:val="single" w:color="auto" w:sz="4" w:space="0"/>
              <w:right w:val="single" w:color="auto" w:sz="4" w:space="0"/>
            </w:tcBorders>
            <w:vAlign w:val="center"/>
          </w:tcPr>
          <w:p>
            <w:pPr>
              <w:spacing w:line="280" w:lineRule="exact"/>
              <w:jc w:val="center"/>
              <w:rPr>
                <w:sz w:val="18"/>
                <w:szCs w:val="18"/>
              </w:rPr>
            </w:pPr>
            <w:r>
              <w:rPr>
                <w:rFonts w:hint="eastAsia"/>
                <w:sz w:val="18"/>
                <w:szCs w:val="18"/>
              </w:rPr>
              <w:t>绩  效  指  标（90）</w:t>
            </w:r>
          </w:p>
        </w:tc>
        <w:tc>
          <w:tcPr>
            <w:tcW w:w="0" w:type="auto"/>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一级指标</w:t>
            </w:r>
          </w:p>
        </w:tc>
        <w:tc>
          <w:tcPr>
            <w:tcW w:w="0" w:type="auto"/>
            <w:gridSpan w:val="2"/>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二级指标</w:t>
            </w:r>
          </w:p>
        </w:tc>
        <w:tc>
          <w:tcPr>
            <w:tcW w:w="0" w:type="auto"/>
            <w:tcBorders>
              <w:top w:val="single" w:color="auto" w:sz="4" w:space="0"/>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三级指标</w:t>
            </w:r>
          </w:p>
        </w:tc>
        <w:tc>
          <w:tcPr>
            <w:tcW w:w="633" w:type="dxa"/>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年度指标值</w:t>
            </w:r>
          </w:p>
        </w:tc>
        <w:tc>
          <w:tcPr>
            <w:tcW w:w="640" w:type="dxa"/>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实际完成值</w:t>
            </w:r>
          </w:p>
        </w:tc>
        <w:tc>
          <w:tcPr>
            <w:tcW w:w="897" w:type="dxa"/>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分值</w:t>
            </w:r>
          </w:p>
        </w:tc>
        <w:tc>
          <w:tcPr>
            <w:tcW w:w="1135" w:type="dxa"/>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得分</w:t>
            </w:r>
          </w:p>
        </w:tc>
        <w:tc>
          <w:tcPr>
            <w:tcW w:w="2450" w:type="dxa"/>
            <w:tcBorders>
              <w:top w:val="single" w:color="auto" w:sz="4" w:space="0"/>
              <w:left w:val="nil"/>
              <w:bottom w:val="single" w:color="auto" w:sz="4" w:space="0"/>
              <w:right w:val="single" w:color="auto" w:sz="4" w:space="0"/>
            </w:tcBorders>
            <w:vAlign w:val="center"/>
          </w:tcPr>
          <w:p>
            <w:pPr>
              <w:spacing w:line="220" w:lineRule="exact"/>
              <w:jc w:val="center"/>
              <w:rPr>
                <w:sz w:val="18"/>
                <w:szCs w:val="18"/>
              </w:rPr>
            </w:pPr>
          </w:p>
        </w:tc>
      </w:tr>
      <w:tr>
        <w:tblPrEx>
          <w:tblCellMar>
            <w:top w:w="0" w:type="dxa"/>
            <w:left w:w="108" w:type="dxa"/>
            <w:bottom w:w="0" w:type="dxa"/>
            <w:right w:w="108" w:type="dxa"/>
          </w:tblCellMar>
        </w:tblPrEx>
        <w:trPr>
          <w:trHeight w:val="53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restart"/>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产出指标（50）</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数量指标</w:t>
            </w:r>
          </w:p>
        </w:tc>
        <w:tc>
          <w:tcPr>
            <w:tcW w:w="0" w:type="auto"/>
            <w:tcBorders>
              <w:top w:val="single" w:color="auto" w:sz="4" w:space="0"/>
              <w:left w:val="nil"/>
              <w:bottom w:val="single" w:color="auto" w:sz="4" w:space="0"/>
              <w:right w:val="single" w:color="auto" w:sz="4" w:space="0"/>
            </w:tcBorders>
            <w:vAlign w:val="center"/>
          </w:tcPr>
          <w:p>
            <w:pPr>
              <w:pStyle w:val="14"/>
              <w:ind w:left="0" w:leftChars="0" w:firstLine="0"/>
              <w:rPr>
                <w:rFonts w:cs="Times New Roman"/>
                <w:sz w:val="18"/>
                <w:szCs w:val="18"/>
              </w:rPr>
            </w:pPr>
            <w:r>
              <w:rPr>
                <w:rFonts w:hint="eastAsia" w:cs="Times New Roman"/>
                <w:sz w:val="18"/>
                <w:szCs w:val="18"/>
              </w:rPr>
              <w:t>资金到位率</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　</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w:t>
            </w:r>
          </w:p>
        </w:tc>
        <w:tc>
          <w:tcPr>
            <w:tcW w:w="113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w:t>
            </w:r>
          </w:p>
        </w:tc>
        <w:tc>
          <w:tcPr>
            <w:tcW w:w="2450"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color w:val="000000"/>
                <w:sz w:val="18"/>
                <w:szCs w:val="18"/>
              </w:rPr>
              <w:t>资金到位率=实际到位资金/计划资金*100%</w:t>
            </w:r>
          </w:p>
        </w:tc>
      </w:tr>
      <w:tr>
        <w:tblPrEx>
          <w:tblCellMar>
            <w:top w:w="0" w:type="dxa"/>
            <w:left w:w="108" w:type="dxa"/>
            <w:bottom w:w="0" w:type="dxa"/>
            <w:right w:w="108" w:type="dxa"/>
          </w:tblCellMar>
        </w:tblPrEx>
        <w:trPr>
          <w:trHeight w:val="55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continue"/>
            <w:tcBorders>
              <w:top w:val="nil"/>
              <w:left w:val="nil"/>
              <w:bottom w:val="single" w:color="auto" w:sz="4" w:space="0"/>
              <w:right w:val="single" w:color="auto" w:sz="4" w:space="0"/>
            </w:tcBorders>
            <w:vAlign w:val="center"/>
          </w:tcPr>
          <w:p>
            <w:pPr>
              <w:rPr>
                <w:sz w:val="18"/>
                <w:szCs w:val="18"/>
              </w:rPr>
            </w:pP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质量指标</w:t>
            </w:r>
          </w:p>
        </w:tc>
        <w:tc>
          <w:tcPr>
            <w:tcW w:w="0" w:type="auto"/>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r>
              <w:rPr>
                <w:rFonts w:hint="eastAsia"/>
                <w:sz w:val="18"/>
                <w:szCs w:val="18"/>
              </w:rPr>
              <w:t>预算执行率</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15　</w:t>
            </w:r>
          </w:p>
        </w:tc>
        <w:tc>
          <w:tcPr>
            <w:tcW w:w="113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15</w:t>
            </w:r>
          </w:p>
        </w:tc>
        <w:tc>
          <w:tcPr>
            <w:tcW w:w="2450"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color w:val="000000"/>
                <w:sz w:val="18"/>
                <w:szCs w:val="18"/>
              </w:rPr>
              <w:t>资金到位率=实际支出资金/预算总金额*100%</w:t>
            </w:r>
          </w:p>
        </w:tc>
      </w:tr>
      <w:tr>
        <w:tblPrEx>
          <w:tblCellMar>
            <w:top w:w="0" w:type="dxa"/>
            <w:left w:w="108" w:type="dxa"/>
            <w:bottom w:w="0" w:type="dxa"/>
            <w:right w:w="108" w:type="dxa"/>
          </w:tblCellMar>
        </w:tblPrEx>
        <w:trPr>
          <w:trHeight w:val="552"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continue"/>
            <w:tcBorders>
              <w:top w:val="nil"/>
              <w:left w:val="nil"/>
              <w:bottom w:val="single" w:color="auto" w:sz="4" w:space="0"/>
              <w:right w:val="single" w:color="auto" w:sz="4" w:space="0"/>
            </w:tcBorders>
            <w:vAlign w:val="center"/>
          </w:tcPr>
          <w:p>
            <w:pPr>
              <w:rPr>
                <w:sz w:val="18"/>
                <w:szCs w:val="18"/>
              </w:rPr>
            </w:pP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时效指标</w:t>
            </w:r>
          </w:p>
        </w:tc>
        <w:tc>
          <w:tcPr>
            <w:tcW w:w="0" w:type="auto"/>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r>
              <w:rPr>
                <w:rFonts w:hint="eastAsia"/>
                <w:sz w:val="18"/>
                <w:szCs w:val="18"/>
              </w:rPr>
              <w:t>项目建设期</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15</w:t>
            </w:r>
          </w:p>
        </w:tc>
        <w:tc>
          <w:tcPr>
            <w:tcW w:w="113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15</w:t>
            </w:r>
          </w:p>
        </w:tc>
        <w:tc>
          <w:tcPr>
            <w:tcW w:w="2450"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sz w:val="18"/>
                <w:szCs w:val="18"/>
              </w:rPr>
              <w:t>确保资金于年度内全额发放完成　</w:t>
            </w:r>
          </w:p>
        </w:tc>
      </w:tr>
      <w:tr>
        <w:tblPrEx>
          <w:tblCellMar>
            <w:top w:w="0" w:type="dxa"/>
            <w:left w:w="108" w:type="dxa"/>
            <w:bottom w:w="0" w:type="dxa"/>
            <w:right w:w="108" w:type="dxa"/>
          </w:tblCellMar>
        </w:tblPrEx>
        <w:trPr>
          <w:trHeight w:val="559"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continue"/>
            <w:tcBorders>
              <w:top w:val="nil"/>
              <w:left w:val="nil"/>
              <w:bottom w:val="single" w:color="auto" w:sz="4" w:space="0"/>
              <w:right w:val="single" w:color="auto" w:sz="4" w:space="0"/>
            </w:tcBorders>
            <w:vAlign w:val="center"/>
          </w:tcPr>
          <w:p>
            <w:pPr>
              <w:rPr>
                <w:sz w:val="18"/>
                <w:szCs w:val="18"/>
              </w:rPr>
            </w:pP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成本指标</w:t>
            </w:r>
          </w:p>
        </w:tc>
        <w:tc>
          <w:tcPr>
            <w:tcW w:w="0" w:type="auto"/>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r>
              <w:rPr>
                <w:rFonts w:hint="eastAsia"/>
                <w:sz w:val="18"/>
                <w:szCs w:val="18"/>
              </w:rPr>
              <w:t>建设供热管网和泵站</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c>
          <w:tcPr>
            <w:tcW w:w="113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c>
          <w:tcPr>
            <w:tcW w:w="2450"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sz w:val="18"/>
                <w:szCs w:val="18"/>
              </w:rPr>
              <w:t xml:space="preserve"> </w:t>
            </w:r>
          </w:p>
        </w:tc>
      </w:tr>
      <w:tr>
        <w:tblPrEx>
          <w:tblCellMar>
            <w:top w:w="0" w:type="dxa"/>
            <w:left w:w="108" w:type="dxa"/>
            <w:bottom w:w="0" w:type="dxa"/>
            <w:right w:w="108" w:type="dxa"/>
          </w:tblCellMar>
        </w:tblPrEx>
        <w:trPr>
          <w:trHeight w:val="57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continue"/>
            <w:tcBorders>
              <w:top w:val="nil"/>
              <w:left w:val="nil"/>
              <w:bottom w:val="single" w:color="auto" w:sz="4" w:space="0"/>
              <w:right w:val="single" w:color="auto" w:sz="4" w:space="0"/>
            </w:tcBorders>
            <w:vAlign w:val="center"/>
          </w:tcPr>
          <w:p>
            <w:pPr>
              <w:rPr>
                <w:sz w:val="18"/>
                <w:szCs w:val="18"/>
              </w:rPr>
            </w:pP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社会效益指标</w:t>
            </w:r>
          </w:p>
        </w:tc>
        <w:tc>
          <w:tcPr>
            <w:tcW w:w="0" w:type="auto"/>
            <w:tcBorders>
              <w:top w:val="single" w:color="auto" w:sz="4" w:space="0"/>
              <w:left w:val="nil"/>
              <w:bottom w:val="single" w:color="auto" w:sz="4" w:space="0"/>
              <w:right w:val="single" w:color="auto" w:sz="4" w:space="0"/>
            </w:tcBorders>
          </w:tcPr>
          <w:p>
            <w:pPr>
              <w:rPr>
                <w:sz w:val="18"/>
                <w:szCs w:val="18"/>
              </w:rPr>
            </w:pPr>
            <w:r>
              <w:rPr>
                <w:rFonts w:hint="eastAsia"/>
                <w:color w:val="000000"/>
                <w:sz w:val="18"/>
                <w:szCs w:val="18"/>
              </w:rPr>
              <w:t xml:space="preserve">保障居民正常供热 </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w:t>
            </w:r>
          </w:p>
        </w:tc>
        <w:tc>
          <w:tcPr>
            <w:tcW w:w="113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c>
          <w:tcPr>
            <w:tcW w:w="2450"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color w:val="000000"/>
                <w:sz w:val="18"/>
                <w:szCs w:val="18"/>
              </w:rPr>
              <w:t xml:space="preserve"> </w:t>
            </w:r>
          </w:p>
        </w:tc>
      </w:tr>
      <w:tr>
        <w:tblPrEx>
          <w:tblCellMar>
            <w:top w:w="0" w:type="dxa"/>
            <w:left w:w="108" w:type="dxa"/>
            <w:bottom w:w="0" w:type="dxa"/>
            <w:right w:w="108" w:type="dxa"/>
          </w:tblCellMar>
        </w:tblPrEx>
        <w:trPr>
          <w:trHeight w:val="559"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continue"/>
            <w:tcBorders>
              <w:top w:val="nil"/>
              <w:left w:val="nil"/>
              <w:bottom w:val="single" w:color="auto" w:sz="4" w:space="0"/>
              <w:right w:val="single" w:color="auto" w:sz="4" w:space="0"/>
            </w:tcBorders>
            <w:vAlign w:val="center"/>
          </w:tcPr>
          <w:p>
            <w:pPr>
              <w:rPr>
                <w:sz w:val="18"/>
                <w:szCs w:val="18"/>
              </w:rPr>
            </w:pP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生态效益</w:t>
            </w:r>
          </w:p>
        </w:tc>
        <w:tc>
          <w:tcPr>
            <w:tcW w:w="0" w:type="auto"/>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r>
              <w:rPr>
                <w:rFonts w:hint="eastAsia"/>
                <w:color w:val="000000"/>
                <w:sz w:val="18"/>
                <w:szCs w:val="18"/>
              </w:rPr>
              <w:t>提高整个包头市供热系统的安全性和可靠性</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20</w:t>
            </w:r>
          </w:p>
        </w:tc>
        <w:tc>
          <w:tcPr>
            <w:tcW w:w="113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20</w:t>
            </w:r>
          </w:p>
        </w:tc>
        <w:tc>
          <w:tcPr>
            <w:tcW w:w="2450"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color w:val="000000"/>
                <w:sz w:val="18"/>
                <w:szCs w:val="18"/>
              </w:rPr>
              <w:t xml:space="preserve"> </w:t>
            </w:r>
            <w:r>
              <w:rPr>
                <w:rFonts w:hint="eastAsia"/>
                <w:sz w:val="18"/>
                <w:szCs w:val="18"/>
              </w:rPr>
              <w:t>　</w:t>
            </w:r>
          </w:p>
        </w:tc>
      </w:tr>
      <w:tr>
        <w:tblPrEx>
          <w:tblCellMar>
            <w:top w:w="0" w:type="dxa"/>
            <w:left w:w="108" w:type="dxa"/>
            <w:bottom w:w="0" w:type="dxa"/>
            <w:right w:w="108" w:type="dxa"/>
          </w:tblCellMar>
        </w:tblPrEx>
        <w:trPr>
          <w:trHeight w:val="834"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tcBorders>
              <w:top w:val="nil"/>
              <w:left w:val="nil"/>
              <w:bottom w:val="single" w:color="auto" w:sz="4" w:space="0"/>
              <w:right w:val="single" w:color="auto" w:sz="4" w:space="0"/>
            </w:tcBorders>
            <w:vAlign w:val="center"/>
          </w:tcPr>
          <w:p>
            <w:pPr>
              <w:spacing w:line="200" w:lineRule="exact"/>
              <w:jc w:val="center"/>
              <w:rPr>
                <w:sz w:val="18"/>
                <w:szCs w:val="18"/>
              </w:rPr>
            </w:pPr>
            <w:r>
              <w:rPr>
                <w:rFonts w:hint="eastAsia"/>
                <w:sz w:val="18"/>
                <w:szCs w:val="18"/>
              </w:rPr>
              <w:t>满意度</w:t>
            </w:r>
          </w:p>
          <w:p>
            <w:pPr>
              <w:spacing w:line="200" w:lineRule="exact"/>
              <w:jc w:val="center"/>
              <w:rPr>
                <w:sz w:val="18"/>
                <w:szCs w:val="18"/>
              </w:rPr>
            </w:pPr>
            <w:r>
              <w:rPr>
                <w:rFonts w:hint="eastAsia"/>
                <w:sz w:val="18"/>
                <w:szCs w:val="18"/>
              </w:rPr>
              <w:t>指标（10）</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服务对象</w:t>
            </w:r>
          </w:p>
          <w:p>
            <w:pPr>
              <w:spacing w:line="240" w:lineRule="exact"/>
              <w:jc w:val="center"/>
              <w:rPr>
                <w:sz w:val="18"/>
                <w:szCs w:val="18"/>
              </w:rPr>
            </w:pPr>
            <w:r>
              <w:rPr>
                <w:rFonts w:hint="eastAsia"/>
                <w:sz w:val="18"/>
                <w:szCs w:val="18"/>
              </w:rPr>
              <w:t>满意度指标</w:t>
            </w:r>
          </w:p>
        </w:tc>
        <w:tc>
          <w:tcPr>
            <w:tcW w:w="0" w:type="auto"/>
            <w:tcBorders>
              <w:top w:val="single" w:color="auto" w:sz="4" w:space="0"/>
              <w:left w:val="nil"/>
              <w:bottom w:val="single" w:color="auto" w:sz="4" w:space="0"/>
              <w:right w:val="single" w:color="auto" w:sz="4" w:space="0"/>
            </w:tcBorders>
          </w:tcPr>
          <w:p>
            <w:pPr>
              <w:adjustRightInd w:val="0"/>
              <w:spacing w:before="100" w:beforeAutospacing="1" w:after="100" w:afterAutospacing="1"/>
              <w:rPr>
                <w:sz w:val="18"/>
                <w:szCs w:val="18"/>
              </w:rPr>
            </w:pPr>
            <w:r>
              <w:rPr>
                <w:rFonts w:hint="eastAsia"/>
                <w:sz w:val="18"/>
                <w:szCs w:val="18"/>
              </w:rPr>
              <w:t>保障居民正常供热，温暖过冬</w:t>
            </w:r>
          </w:p>
        </w:tc>
        <w:tc>
          <w:tcPr>
            <w:tcW w:w="63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6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897"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c>
          <w:tcPr>
            <w:tcW w:w="113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w:t>
            </w:r>
          </w:p>
        </w:tc>
        <w:tc>
          <w:tcPr>
            <w:tcW w:w="2450" w:type="dxa"/>
            <w:tcBorders>
              <w:top w:val="single" w:color="auto" w:sz="4" w:space="0"/>
              <w:left w:val="nil"/>
              <w:bottom w:val="single" w:color="auto" w:sz="4" w:space="0"/>
              <w:right w:val="single" w:color="auto" w:sz="4" w:space="0"/>
            </w:tcBorders>
            <w:vAlign w:val="center"/>
          </w:tcPr>
          <w:p>
            <w:pPr>
              <w:spacing w:beforeAutospacing="1" w:afterAutospacing="1"/>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61" w:hRule="atLeast"/>
          <w:jc w:val="center"/>
        </w:trPr>
        <w:tc>
          <w:tcPr>
            <w:tcW w:w="0" w:type="auto"/>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总    分</w:t>
            </w:r>
          </w:p>
        </w:tc>
        <w:tc>
          <w:tcPr>
            <w:tcW w:w="897" w:type="dxa"/>
            <w:tcBorders>
              <w:top w:val="nil"/>
              <w:left w:val="nil"/>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90</w:t>
            </w:r>
          </w:p>
        </w:tc>
        <w:tc>
          <w:tcPr>
            <w:tcW w:w="1135" w:type="dxa"/>
            <w:tcBorders>
              <w:top w:val="nil"/>
              <w:left w:val="nil"/>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90　</w:t>
            </w:r>
          </w:p>
        </w:tc>
        <w:tc>
          <w:tcPr>
            <w:tcW w:w="2450"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w:t>
            </w:r>
          </w:p>
        </w:tc>
      </w:tr>
    </w:tbl>
    <w:p>
      <w:pPr>
        <w:ind w:firstLine="643"/>
        <w:rPr>
          <w:rFonts w:ascii="楷体" w:hAnsi="楷体" w:eastAsia="楷体"/>
          <w:b/>
          <w:kern w:val="2"/>
          <w:sz w:val="32"/>
          <w:szCs w:val="32"/>
        </w:rPr>
      </w:pPr>
      <w:r>
        <w:rPr>
          <w:rFonts w:hint="eastAsia" w:ascii="楷体" w:hAnsi="楷体" w:eastAsia="楷体"/>
          <w:b/>
          <w:kern w:val="2"/>
          <w:sz w:val="32"/>
          <w:szCs w:val="32"/>
        </w:rPr>
        <w:t xml:space="preserve">                      </w:t>
      </w:r>
    </w:p>
    <w:tbl>
      <w:tblPr>
        <w:tblStyle w:val="15"/>
        <w:tblW w:w="0" w:type="auto"/>
        <w:jc w:val="center"/>
        <w:tblLayout w:type="autofit"/>
        <w:tblCellMar>
          <w:top w:w="0" w:type="dxa"/>
          <w:left w:w="108" w:type="dxa"/>
          <w:bottom w:w="0" w:type="dxa"/>
          <w:right w:w="108" w:type="dxa"/>
        </w:tblCellMar>
      </w:tblPr>
      <w:tblGrid>
        <w:gridCol w:w="1231"/>
        <w:gridCol w:w="1028"/>
        <w:gridCol w:w="402"/>
        <w:gridCol w:w="402"/>
        <w:gridCol w:w="1211"/>
        <w:gridCol w:w="780"/>
        <w:gridCol w:w="780"/>
        <w:gridCol w:w="540"/>
        <w:gridCol w:w="683"/>
        <w:gridCol w:w="1474"/>
      </w:tblGrid>
      <w:tr>
        <w:tblPrEx>
          <w:tblCellMar>
            <w:top w:w="0" w:type="dxa"/>
            <w:left w:w="108" w:type="dxa"/>
            <w:bottom w:w="0" w:type="dxa"/>
            <w:right w:w="108" w:type="dxa"/>
          </w:tblCellMar>
        </w:tblPrEx>
        <w:trPr>
          <w:trHeight w:val="860" w:hRule="atLeast"/>
          <w:jc w:val="center"/>
        </w:trPr>
        <w:tc>
          <w:tcPr>
            <w:tcW w:w="0" w:type="auto"/>
            <w:gridSpan w:val="10"/>
            <w:vAlign w:val="center"/>
          </w:tcPr>
          <w:p>
            <w:pPr>
              <w:spacing w:line="560" w:lineRule="exact"/>
              <w:jc w:val="center"/>
              <w:rPr>
                <w:rFonts w:ascii="方正小标宋简体" w:hAnsi="华文中宋"/>
                <w:bCs/>
                <w:spacing w:val="20"/>
                <w:sz w:val="44"/>
                <w:szCs w:val="44"/>
              </w:rPr>
            </w:pPr>
          </w:p>
          <w:p>
            <w:pPr>
              <w:spacing w:line="560" w:lineRule="exact"/>
              <w:jc w:val="center"/>
              <w:rPr>
                <w:rFonts w:ascii="方正小标宋简体" w:hAnsi="华文中宋"/>
                <w:bCs/>
                <w:spacing w:val="20"/>
                <w:sz w:val="44"/>
                <w:szCs w:val="44"/>
              </w:rPr>
            </w:pPr>
          </w:p>
          <w:p>
            <w:pPr>
              <w:spacing w:line="560" w:lineRule="exact"/>
              <w:jc w:val="center"/>
              <w:rPr>
                <w:rFonts w:ascii="方正小标宋简体" w:hAnsi="华文中宋"/>
                <w:bCs/>
                <w:spacing w:val="20"/>
                <w:sz w:val="44"/>
                <w:szCs w:val="44"/>
              </w:rPr>
            </w:pPr>
          </w:p>
          <w:p>
            <w:pPr>
              <w:spacing w:line="560" w:lineRule="exact"/>
              <w:jc w:val="center"/>
              <w:rPr>
                <w:rFonts w:ascii="方正小标宋简体" w:hAnsi="华文中宋"/>
                <w:bCs/>
                <w:spacing w:val="20"/>
                <w:sz w:val="44"/>
                <w:szCs w:val="44"/>
              </w:rPr>
            </w:pPr>
          </w:p>
          <w:p>
            <w:pPr>
              <w:spacing w:line="560" w:lineRule="exact"/>
              <w:jc w:val="center"/>
              <w:rPr>
                <w:rFonts w:ascii="方正小标宋简体" w:hAnsi="华文中宋"/>
                <w:bCs/>
                <w:spacing w:val="20"/>
                <w:sz w:val="44"/>
                <w:szCs w:val="44"/>
              </w:rPr>
            </w:pPr>
          </w:p>
          <w:p>
            <w:pPr>
              <w:spacing w:line="560" w:lineRule="exact"/>
              <w:jc w:val="center"/>
              <w:rPr>
                <w:rFonts w:ascii="方正小标宋简体" w:hAnsi="华文中宋"/>
                <w:bCs/>
                <w:spacing w:val="20"/>
                <w:sz w:val="44"/>
                <w:szCs w:val="44"/>
              </w:rPr>
            </w:pPr>
          </w:p>
          <w:p>
            <w:pPr>
              <w:spacing w:line="560" w:lineRule="exact"/>
              <w:jc w:val="center"/>
              <w:rPr>
                <w:rFonts w:ascii="方正小标宋简体" w:hAnsi="华文中宋"/>
                <w:bCs/>
                <w:spacing w:val="20"/>
                <w:sz w:val="44"/>
                <w:szCs w:val="44"/>
              </w:rPr>
            </w:pPr>
          </w:p>
          <w:p>
            <w:pPr>
              <w:spacing w:line="560" w:lineRule="exact"/>
              <w:jc w:val="center"/>
              <w:rPr>
                <w:rFonts w:ascii="方正小标宋简体" w:hAnsi="华文中宋"/>
                <w:bCs/>
                <w:spacing w:val="20"/>
                <w:sz w:val="44"/>
                <w:szCs w:val="44"/>
              </w:rPr>
            </w:pPr>
          </w:p>
          <w:p>
            <w:pPr>
              <w:spacing w:line="560" w:lineRule="exact"/>
              <w:jc w:val="center"/>
              <w:rPr>
                <w:rFonts w:ascii="方正小标宋简体" w:hAnsi="华文中宋"/>
                <w:bCs/>
                <w:spacing w:val="20"/>
                <w:sz w:val="44"/>
                <w:szCs w:val="44"/>
              </w:rPr>
            </w:pPr>
          </w:p>
          <w:p>
            <w:pPr>
              <w:spacing w:line="560" w:lineRule="exact"/>
              <w:jc w:val="center"/>
              <w:rPr>
                <w:rFonts w:ascii="方正小标宋简体" w:hAnsi="华文中宋"/>
                <w:bCs/>
                <w:spacing w:val="20"/>
                <w:sz w:val="44"/>
                <w:szCs w:val="44"/>
              </w:rPr>
            </w:pPr>
          </w:p>
          <w:p>
            <w:pPr>
              <w:spacing w:line="560" w:lineRule="exact"/>
              <w:jc w:val="center"/>
              <w:rPr>
                <w:rFonts w:ascii="方正小标宋简体" w:hAnsi="华文中宋"/>
                <w:bCs/>
                <w:spacing w:val="20"/>
                <w:sz w:val="44"/>
                <w:szCs w:val="44"/>
              </w:rPr>
            </w:pPr>
          </w:p>
          <w:p>
            <w:pPr>
              <w:spacing w:line="560" w:lineRule="exact"/>
              <w:rPr>
                <w:rFonts w:ascii="方正小标宋简体" w:hAnsi="华文中宋"/>
                <w:bCs/>
                <w:spacing w:val="20"/>
                <w:sz w:val="44"/>
                <w:szCs w:val="44"/>
              </w:rPr>
            </w:pPr>
          </w:p>
          <w:p>
            <w:pPr>
              <w:spacing w:line="560" w:lineRule="exact"/>
              <w:rPr>
                <w:rFonts w:ascii="方正小标宋简体" w:hAnsi="华文中宋"/>
                <w:bCs/>
                <w:spacing w:val="20"/>
                <w:sz w:val="44"/>
                <w:szCs w:val="44"/>
              </w:rPr>
            </w:pPr>
          </w:p>
          <w:p>
            <w:pPr>
              <w:spacing w:line="560" w:lineRule="exact"/>
              <w:rPr>
                <w:rFonts w:ascii="方正小标宋简体" w:hAnsi="华文中宋"/>
                <w:bCs/>
                <w:spacing w:val="20"/>
                <w:sz w:val="44"/>
                <w:szCs w:val="44"/>
              </w:rPr>
            </w:pPr>
          </w:p>
          <w:p>
            <w:pPr>
              <w:spacing w:line="560" w:lineRule="exact"/>
              <w:jc w:val="center"/>
              <w:rPr>
                <w:rFonts w:ascii="方正小标宋简体" w:hAnsi="华文中宋"/>
                <w:bCs/>
                <w:sz w:val="44"/>
                <w:szCs w:val="44"/>
              </w:rPr>
            </w:pPr>
            <w:r>
              <w:rPr>
                <w:rFonts w:hint="eastAsia" w:ascii="方正小标宋简体" w:hAnsi="华文中宋"/>
                <w:bCs/>
                <w:spacing w:val="20"/>
                <w:sz w:val="44"/>
                <w:szCs w:val="44"/>
              </w:rPr>
              <w:t>项目支出绩效自评表</w:t>
            </w:r>
          </w:p>
        </w:tc>
      </w:tr>
      <w:tr>
        <w:tblPrEx>
          <w:tblCellMar>
            <w:top w:w="0" w:type="dxa"/>
            <w:left w:w="108" w:type="dxa"/>
            <w:bottom w:w="0" w:type="dxa"/>
            <w:right w:w="108" w:type="dxa"/>
          </w:tblCellMar>
        </w:tblPrEx>
        <w:trPr>
          <w:trHeight w:val="293" w:hRule="atLeast"/>
          <w:jc w:val="center"/>
        </w:trPr>
        <w:tc>
          <w:tcPr>
            <w:tcW w:w="0" w:type="auto"/>
            <w:gridSpan w:val="10"/>
          </w:tcPr>
          <w:p>
            <w:pPr>
              <w:spacing w:line="400" w:lineRule="exact"/>
              <w:jc w:val="center"/>
              <w:rPr>
                <w:rFonts w:ascii="楷体_GB2312" w:eastAsia="楷体_GB2312"/>
              </w:rPr>
            </w:pPr>
            <w:r>
              <w:rPr>
                <w:rFonts w:hint="eastAsia" w:ascii="方正楷体简体" w:hAnsi="方正楷体简体" w:cs="方正楷体简体"/>
                <w:sz w:val="32"/>
                <w:szCs w:val="40"/>
              </w:rPr>
              <w:t>（</w:t>
            </w:r>
            <w:r>
              <w:rPr>
                <w:rFonts w:ascii="方正楷体简体" w:hAnsi="方正楷体简体" w:cs="方正楷体简体"/>
                <w:sz w:val="32"/>
                <w:szCs w:val="40"/>
              </w:rPr>
              <w:t>2022</w:t>
            </w:r>
            <w:r>
              <w:rPr>
                <w:rFonts w:hint="eastAsia" w:ascii="方正楷体简体" w:hAnsi="方正楷体简体" w:cs="方正楷体简体"/>
                <w:sz w:val="32"/>
                <w:szCs w:val="40"/>
              </w:rPr>
              <w:t>年度）</w:t>
            </w:r>
          </w:p>
        </w:tc>
      </w:tr>
      <w:tr>
        <w:tblPrEx>
          <w:tblCellMar>
            <w:top w:w="0" w:type="dxa"/>
            <w:left w:w="108" w:type="dxa"/>
            <w:bottom w:w="0" w:type="dxa"/>
            <w:right w:w="108" w:type="dxa"/>
          </w:tblCellMar>
        </w:tblPrEx>
        <w:trPr>
          <w:trHeight w:val="284"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项目名称</w:t>
            </w:r>
          </w:p>
        </w:tc>
        <w:tc>
          <w:tcPr>
            <w:tcW w:w="0" w:type="auto"/>
            <w:gridSpan w:val="9"/>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亚麻厂留守人员经费问题</w:t>
            </w:r>
          </w:p>
        </w:tc>
      </w:tr>
      <w:tr>
        <w:tblPrEx>
          <w:tblCellMar>
            <w:top w:w="0" w:type="dxa"/>
            <w:left w:w="108" w:type="dxa"/>
            <w:bottom w:w="0" w:type="dxa"/>
            <w:right w:w="108" w:type="dxa"/>
          </w:tblCellMar>
        </w:tblPrEx>
        <w:trPr>
          <w:trHeight w:val="284"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主管部门及代码</w:t>
            </w:r>
          </w:p>
        </w:tc>
        <w:tc>
          <w:tcPr>
            <w:tcW w:w="0" w:type="auto"/>
            <w:gridSpan w:val="5"/>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市财政局工交科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实施单位</w:t>
            </w:r>
          </w:p>
        </w:tc>
        <w:tc>
          <w:tcPr>
            <w:tcW w:w="0" w:type="auto"/>
            <w:gridSpan w:val="3"/>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包头市国资委　</w:t>
            </w:r>
          </w:p>
        </w:tc>
      </w:tr>
      <w:tr>
        <w:tblPrEx>
          <w:tblCellMar>
            <w:top w:w="0" w:type="dxa"/>
            <w:left w:w="108" w:type="dxa"/>
            <w:bottom w:w="0" w:type="dxa"/>
            <w:right w:w="108" w:type="dxa"/>
          </w:tblCellMar>
        </w:tblPrEx>
        <w:trPr>
          <w:trHeight w:val="284" w:hRule="exact"/>
          <w:jc w:val="center"/>
        </w:trPr>
        <w:tc>
          <w:tcPr>
            <w:tcW w:w="0" w:type="auto"/>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项目资金</w:t>
            </w:r>
            <w:r>
              <w:rPr>
                <w:rFonts w:hint="eastAsia"/>
                <w:sz w:val="18"/>
                <w:szCs w:val="18"/>
              </w:rPr>
              <w:br w:type="textWrapping"/>
            </w:r>
            <w:r>
              <w:rPr>
                <w:rFonts w:hint="eastAsia"/>
                <w:sz w:val="18"/>
                <w:szCs w:val="18"/>
              </w:rPr>
              <w:t>（万元）</w:t>
            </w:r>
          </w:p>
        </w:tc>
        <w:tc>
          <w:tcPr>
            <w:tcW w:w="0" w:type="auto"/>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年初预算数</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全年预算数</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全年执行数</w:t>
            </w:r>
          </w:p>
        </w:tc>
        <w:tc>
          <w:tcPr>
            <w:tcW w:w="5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分值</w:t>
            </w:r>
          </w:p>
        </w:tc>
        <w:tc>
          <w:tcPr>
            <w:tcW w:w="683"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执行率</w:t>
            </w:r>
          </w:p>
        </w:tc>
        <w:tc>
          <w:tcPr>
            <w:tcW w:w="147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得分</w:t>
            </w:r>
          </w:p>
        </w:tc>
      </w:tr>
      <w:tr>
        <w:tblPrEx>
          <w:tblCellMar>
            <w:top w:w="0" w:type="dxa"/>
            <w:left w:w="108" w:type="dxa"/>
            <w:bottom w:w="0" w:type="dxa"/>
            <w:right w:w="108" w:type="dxa"/>
          </w:tblCellMar>
        </w:tblPrEx>
        <w:trPr>
          <w:trHeight w:val="284"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0" w:type="auto"/>
            <w:gridSpan w:val="2"/>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sz w:val="18"/>
                <w:szCs w:val="18"/>
              </w:rPr>
              <w:t>年度资金总额</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xml:space="preserve">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40　</w:t>
            </w:r>
          </w:p>
        </w:tc>
        <w:tc>
          <w:tcPr>
            <w:tcW w:w="5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w:t>
            </w:r>
          </w:p>
        </w:tc>
        <w:tc>
          <w:tcPr>
            <w:tcW w:w="683"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147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r>
      <w:tr>
        <w:tblPrEx>
          <w:tblCellMar>
            <w:top w:w="0" w:type="dxa"/>
            <w:left w:w="108" w:type="dxa"/>
            <w:bottom w:w="0" w:type="dxa"/>
            <w:right w:w="108" w:type="dxa"/>
          </w:tblCellMar>
        </w:tblPrEx>
        <w:trPr>
          <w:trHeight w:val="284"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0" w:type="auto"/>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其中：财政拨款</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40</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40　</w:t>
            </w:r>
          </w:p>
        </w:tc>
        <w:tc>
          <w:tcPr>
            <w:tcW w:w="5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c>
          <w:tcPr>
            <w:tcW w:w="683"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147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r>
      <w:tr>
        <w:tblPrEx>
          <w:tblCellMar>
            <w:top w:w="0" w:type="dxa"/>
            <w:left w:w="108" w:type="dxa"/>
            <w:bottom w:w="0" w:type="dxa"/>
            <w:right w:w="108" w:type="dxa"/>
          </w:tblCellMar>
        </w:tblPrEx>
        <w:trPr>
          <w:trHeight w:val="284"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0" w:type="auto"/>
            <w:gridSpan w:val="2"/>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xml:space="preserve">     其他资金</w:t>
            </w:r>
          </w:p>
        </w:tc>
        <w:tc>
          <w:tcPr>
            <w:tcW w:w="0" w:type="auto"/>
            <w:gridSpan w:val="2"/>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5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c>
          <w:tcPr>
            <w:tcW w:w="683"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0　</w:t>
            </w:r>
          </w:p>
        </w:tc>
        <w:tc>
          <w:tcPr>
            <w:tcW w:w="1475"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w:t>
            </w:r>
          </w:p>
        </w:tc>
      </w:tr>
      <w:tr>
        <w:tblPrEx>
          <w:tblCellMar>
            <w:top w:w="0" w:type="dxa"/>
            <w:left w:w="108" w:type="dxa"/>
            <w:bottom w:w="0" w:type="dxa"/>
            <w:right w:w="108" w:type="dxa"/>
          </w:tblCellMar>
        </w:tblPrEx>
        <w:trPr>
          <w:trHeight w:val="284" w:hRule="exact"/>
          <w:jc w:val="center"/>
        </w:trPr>
        <w:tc>
          <w:tcPr>
            <w:tcW w:w="0" w:type="auto"/>
            <w:vMerge w:val="restart"/>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年度总体目标</w:t>
            </w:r>
          </w:p>
        </w:tc>
        <w:tc>
          <w:tcPr>
            <w:tcW w:w="0" w:type="auto"/>
            <w:gridSpan w:val="5"/>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预期目标</w:t>
            </w:r>
          </w:p>
        </w:tc>
        <w:tc>
          <w:tcPr>
            <w:tcW w:w="0" w:type="auto"/>
            <w:gridSpan w:val="4"/>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实际完成情况</w:t>
            </w:r>
          </w:p>
        </w:tc>
      </w:tr>
      <w:tr>
        <w:tblPrEx>
          <w:tblCellMar>
            <w:top w:w="0" w:type="dxa"/>
            <w:left w:w="108" w:type="dxa"/>
            <w:bottom w:w="0" w:type="dxa"/>
            <w:right w:w="108" w:type="dxa"/>
          </w:tblCellMar>
        </w:tblPrEx>
        <w:trPr>
          <w:trHeight w:val="21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gridSpan w:val="5"/>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拨付亚麻厂留守人员工作经费　</w:t>
            </w:r>
          </w:p>
        </w:tc>
        <w:tc>
          <w:tcPr>
            <w:tcW w:w="0" w:type="auto"/>
            <w:gridSpan w:val="4"/>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拨付亚麻厂留守人员工作经费　</w:t>
            </w:r>
          </w:p>
        </w:tc>
      </w:tr>
      <w:tr>
        <w:tblPrEx>
          <w:tblCellMar>
            <w:top w:w="0" w:type="dxa"/>
            <w:left w:w="108" w:type="dxa"/>
            <w:bottom w:w="0" w:type="dxa"/>
            <w:right w:w="108" w:type="dxa"/>
          </w:tblCellMar>
        </w:tblPrEx>
        <w:trPr>
          <w:cantSplit/>
          <w:trHeight w:val="505" w:hRule="atLeast"/>
          <w:jc w:val="center"/>
        </w:trPr>
        <w:tc>
          <w:tcPr>
            <w:tcW w:w="0" w:type="auto"/>
            <w:vMerge w:val="restart"/>
            <w:tcBorders>
              <w:top w:val="nil"/>
              <w:left w:val="single" w:color="auto" w:sz="4" w:space="0"/>
              <w:bottom w:val="single" w:color="auto" w:sz="4" w:space="0"/>
              <w:right w:val="single" w:color="auto" w:sz="4" w:space="0"/>
            </w:tcBorders>
            <w:vAlign w:val="center"/>
          </w:tcPr>
          <w:p>
            <w:pPr>
              <w:spacing w:line="280" w:lineRule="exact"/>
              <w:jc w:val="center"/>
              <w:rPr>
                <w:sz w:val="18"/>
                <w:szCs w:val="18"/>
              </w:rPr>
            </w:pPr>
            <w:r>
              <w:rPr>
                <w:rFonts w:hint="eastAsia"/>
                <w:sz w:val="18"/>
                <w:szCs w:val="18"/>
              </w:rPr>
              <w:t>绩  效  指  标（90）</w:t>
            </w:r>
          </w:p>
        </w:tc>
        <w:tc>
          <w:tcPr>
            <w:tcW w:w="0" w:type="auto"/>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一级指标</w:t>
            </w:r>
          </w:p>
        </w:tc>
        <w:tc>
          <w:tcPr>
            <w:tcW w:w="0" w:type="auto"/>
            <w:gridSpan w:val="2"/>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二级指标</w:t>
            </w:r>
          </w:p>
        </w:tc>
        <w:tc>
          <w:tcPr>
            <w:tcW w:w="0" w:type="auto"/>
            <w:tcBorders>
              <w:top w:val="single" w:color="auto" w:sz="4" w:space="0"/>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三级指标</w:t>
            </w:r>
          </w:p>
        </w:tc>
        <w:tc>
          <w:tcPr>
            <w:tcW w:w="0" w:type="auto"/>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年度指标值</w:t>
            </w:r>
          </w:p>
        </w:tc>
        <w:tc>
          <w:tcPr>
            <w:tcW w:w="0" w:type="auto"/>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实际完成值</w:t>
            </w:r>
          </w:p>
        </w:tc>
        <w:tc>
          <w:tcPr>
            <w:tcW w:w="540" w:type="dxa"/>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分值</w:t>
            </w:r>
          </w:p>
        </w:tc>
        <w:tc>
          <w:tcPr>
            <w:tcW w:w="683" w:type="dxa"/>
            <w:tcBorders>
              <w:top w:val="nil"/>
              <w:left w:val="nil"/>
              <w:bottom w:val="single" w:color="auto" w:sz="4" w:space="0"/>
              <w:right w:val="single" w:color="auto" w:sz="4" w:space="0"/>
            </w:tcBorders>
            <w:vAlign w:val="center"/>
          </w:tcPr>
          <w:p>
            <w:pPr>
              <w:spacing w:line="220" w:lineRule="exact"/>
              <w:jc w:val="center"/>
              <w:rPr>
                <w:sz w:val="18"/>
                <w:szCs w:val="18"/>
              </w:rPr>
            </w:pPr>
            <w:r>
              <w:rPr>
                <w:rFonts w:hint="eastAsia"/>
                <w:sz w:val="18"/>
                <w:szCs w:val="18"/>
              </w:rPr>
              <w:t>得分</w:t>
            </w:r>
          </w:p>
        </w:tc>
        <w:tc>
          <w:tcPr>
            <w:tcW w:w="1475" w:type="dxa"/>
            <w:tcBorders>
              <w:top w:val="single" w:color="auto" w:sz="4" w:space="0"/>
              <w:left w:val="nil"/>
              <w:bottom w:val="single" w:color="auto" w:sz="4" w:space="0"/>
              <w:right w:val="single" w:color="auto" w:sz="4" w:space="0"/>
            </w:tcBorders>
            <w:vAlign w:val="center"/>
          </w:tcPr>
          <w:p>
            <w:pPr>
              <w:spacing w:line="220" w:lineRule="exact"/>
              <w:jc w:val="center"/>
              <w:rPr>
                <w:sz w:val="18"/>
                <w:szCs w:val="18"/>
              </w:rPr>
            </w:pPr>
          </w:p>
        </w:tc>
      </w:tr>
      <w:tr>
        <w:tblPrEx>
          <w:tblCellMar>
            <w:top w:w="0" w:type="dxa"/>
            <w:left w:w="108" w:type="dxa"/>
            <w:bottom w:w="0" w:type="dxa"/>
            <w:right w:w="108" w:type="dxa"/>
          </w:tblCellMar>
        </w:tblPrEx>
        <w:trPr>
          <w:trHeight w:val="534" w:hRule="exac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restart"/>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产出指标（50）</w:t>
            </w:r>
          </w:p>
        </w:tc>
        <w:tc>
          <w:tcPr>
            <w:tcW w:w="0" w:type="auto"/>
            <w:gridSpan w:val="2"/>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数量指标</w:t>
            </w:r>
          </w:p>
        </w:tc>
        <w:tc>
          <w:tcPr>
            <w:tcW w:w="0" w:type="auto"/>
            <w:tcBorders>
              <w:top w:val="single" w:color="auto" w:sz="4" w:space="0"/>
              <w:left w:val="nil"/>
              <w:bottom w:val="single" w:color="auto" w:sz="4" w:space="0"/>
              <w:right w:val="single" w:color="auto" w:sz="4" w:space="0"/>
            </w:tcBorders>
            <w:vAlign w:val="center"/>
          </w:tcPr>
          <w:p>
            <w:pPr>
              <w:pStyle w:val="14"/>
              <w:ind w:left="0" w:leftChars="0" w:firstLine="0"/>
              <w:rPr>
                <w:sz w:val="18"/>
                <w:szCs w:val="18"/>
              </w:rPr>
            </w:pPr>
            <w:r>
              <w:rPr>
                <w:rFonts w:hint="eastAsia"/>
                <w:sz w:val="18"/>
                <w:szCs w:val="18"/>
              </w:rPr>
              <w:t>资金到位率</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5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c>
          <w:tcPr>
            <w:tcW w:w="68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c>
          <w:tcPr>
            <w:tcW w:w="1475"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color w:val="000000"/>
                <w:sz w:val="18"/>
                <w:szCs w:val="18"/>
              </w:rPr>
              <w:t>资金到位率=实际到位资金/计划资金*100%</w:t>
            </w:r>
          </w:p>
        </w:tc>
      </w:tr>
      <w:tr>
        <w:tblPrEx>
          <w:tblCellMar>
            <w:top w:w="0" w:type="dxa"/>
            <w:left w:w="108" w:type="dxa"/>
            <w:bottom w:w="0" w:type="dxa"/>
            <w:right w:w="108" w:type="dxa"/>
          </w:tblCellMar>
        </w:tblPrEx>
        <w:trPr>
          <w:trHeight w:val="554" w:hRule="exac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gridSpan w:val="2"/>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质量指标</w:t>
            </w:r>
          </w:p>
        </w:tc>
        <w:tc>
          <w:tcPr>
            <w:tcW w:w="0" w:type="auto"/>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r>
              <w:rPr>
                <w:rFonts w:hint="eastAsia"/>
                <w:sz w:val="18"/>
                <w:szCs w:val="18"/>
              </w:rPr>
              <w:t>预算执行率</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5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20　</w:t>
            </w:r>
          </w:p>
        </w:tc>
        <w:tc>
          <w:tcPr>
            <w:tcW w:w="68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20　</w:t>
            </w:r>
          </w:p>
        </w:tc>
        <w:tc>
          <w:tcPr>
            <w:tcW w:w="1475"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color w:val="000000"/>
                <w:sz w:val="18"/>
                <w:szCs w:val="18"/>
              </w:rPr>
              <w:t>资金到位率=实际支出资金/预算总金额*100%</w:t>
            </w:r>
          </w:p>
        </w:tc>
      </w:tr>
      <w:tr>
        <w:tblPrEx>
          <w:tblCellMar>
            <w:top w:w="0" w:type="dxa"/>
            <w:left w:w="108" w:type="dxa"/>
            <w:bottom w:w="0" w:type="dxa"/>
            <w:right w:w="108" w:type="dxa"/>
          </w:tblCellMar>
        </w:tblPrEx>
        <w:trPr>
          <w:trHeight w:val="842" w:hRule="exac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gridSpan w:val="2"/>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时效指标</w:t>
            </w:r>
          </w:p>
        </w:tc>
        <w:tc>
          <w:tcPr>
            <w:tcW w:w="0" w:type="auto"/>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r>
              <w:rPr>
                <w:rFonts w:hint="eastAsia"/>
                <w:sz w:val="18"/>
                <w:szCs w:val="18"/>
              </w:rPr>
              <w:t>拨付亚麻厂留守人员工作经费</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5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20　</w:t>
            </w:r>
          </w:p>
        </w:tc>
        <w:tc>
          <w:tcPr>
            <w:tcW w:w="68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20</w:t>
            </w:r>
          </w:p>
        </w:tc>
        <w:tc>
          <w:tcPr>
            <w:tcW w:w="1475"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sz w:val="18"/>
                <w:szCs w:val="18"/>
              </w:rPr>
              <w:t>拨付亚麻厂留守人员工作经费　</w:t>
            </w:r>
          </w:p>
        </w:tc>
      </w:tr>
      <w:tr>
        <w:tblPrEx>
          <w:tblCellMar>
            <w:top w:w="0" w:type="dxa"/>
            <w:left w:w="108" w:type="dxa"/>
            <w:bottom w:w="0" w:type="dxa"/>
            <w:right w:w="108" w:type="dxa"/>
          </w:tblCellMar>
        </w:tblPrEx>
        <w:trPr>
          <w:trHeight w:val="559" w:hRule="exac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gridSpan w:val="2"/>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成本指标</w:t>
            </w:r>
          </w:p>
        </w:tc>
        <w:tc>
          <w:tcPr>
            <w:tcW w:w="0" w:type="auto"/>
            <w:tcBorders>
              <w:top w:val="single" w:color="auto" w:sz="4" w:space="0"/>
              <w:left w:val="nil"/>
              <w:bottom w:val="single" w:color="auto" w:sz="4" w:space="0"/>
              <w:right w:val="single" w:color="auto" w:sz="4" w:space="0"/>
            </w:tcBorders>
            <w:vAlign w:val="center"/>
          </w:tcPr>
          <w:p>
            <w:pPr>
              <w:spacing w:beforeAutospacing="1" w:afterAutospacing="1"/>
              <w:rPr>
                <w:rFonts w:ascii="Times New Roman" w:hAnsi="Times New Roman" w:eastAsia="Times New Roman" w:cs="Times New Roman"/>
                <w:sz w:val="20"/>
                <w:szCs w:val="20"/>
              </w:rPr>
            </w:pPr>
          </w:p>
        </w:tc>
        <w:tc>
          <w:tcPr>
            <w:tcW w:w="0" w:type="auto"/>
            <w:tcBorders>
              <w:top w:val="nil"/>
              <w:left w:val="nil"/>
              <w:bottom w:val="single" w:color="auto" w:sz="4" w:space="0"/>
              <w:right w:val="single" w:color="auto" w:sz="4" w:space="0"/>
            </w:tcBorders>
            <w:vAlign w:val="center"/>
          </w:tcPr>
          <w:p>
            <w:pPr>
              <w:spacing w:beforeAutospacing="1" w:afterAutospacing="1"/>
              <w:rPr>
                <w:rFonts w:ascii="Times New Roman" w:hAnsi="Times New Roman" w:eastAsia="Times New Roman" w:cs="Times New Roman"/>
                <w:sz w:val="20"/>
                <w:szCs w:val="20"/>
              </w:rPr>
            </w:pPr>
          </w:p>
        </w:tc>
        <w:tc>
          <w:tcPr>
            <w:tcW w:w="0" w:type="auto"/>
            <w:tcBorders>
              <w:top w:val="nil"/>
              <w:left w:val="nil"/>
              <w:bottom w:val="single" w:color="auto" w:sz="4" w:space="0"/>
              <w:right w:val="single" w:color="auto" w:sz="4" w:space="0"/>
            </w:tcBorders>
            <w:vAlign w:val="center"/>
          </w:tcPr>
          <w:p>
            <w:pPr>
              <w:spacing w:beforeAutospacing="1" w:afterAutospacing="1"/>
              <w:rPr>
                <w:rFonts w:ascii="Times New Roman" w:hAnsi="Times New Roman" w:eastAsia="Times New Roman" w:cs="Times New Roman"/>
                <w:sz w:val="20"/>
                <w:szCs w:val="20"/>
              </w:rPr>
            </w:pPr>
          </w:p>
        </w:tc>
        <w:tc>
          <w:tcPr>
            <w:tcW w:w="540" w:type="dxa"/>
            <w:tcBorders>
              <w:top w:val="nil"/>
              <w:left w:val="nil"/>
              <w:bottom w:val="single" w:color="auto" w:sz="4" w:space="0"/>
              <w:right w:val="single" w:color="auto" w:sz="4" w:space="0"/>
            </w:tcBorders>
            <w:vAlign w:val="center"/>
          </w:tcPr>
          <w:p>
            <w:pPr>
              <w:spacing w:beforeAutospacing="1" w:afterAutospacing="1"/>
              <w:rPr>
                <w:rFonts w:ascii="Times New Roman" w:hAnsi="Times New Roman" w:eastAsia="Times New Roman" w:cs="Times New Roman"/>
                <w:sz w:val="20"/>
                <w:szCs w:val="20"/>
              </w:rPr>
            </w:pPr>
          </w:p>
        </w:tc>
        <w:tc>
          <w:tcPr>
            <w:tcW w:w="683" w:type="dxa"/>
            <w:tcBorders>
              <w:top w:val="nil"/>
              <w:left w:val="nil"/>
              <w:bottom w:val="single" w:color="auto" w:sz="4" w:space="0"/>
              <w:right w:val="single" w:color="auto" w:sz="4" w:space="0"/>
            </w:tcBorders>
            <w:vAlign w:val="center"/>
          </w:tcPr>
          <w:p>
            <w:pPr>
              <w:spacing w:beforeAutospacing="1" w:afterAutospacing="1"/>
              <w:rPr>
                <w:rFonts w:ascii="Times New Roman" w:hAnsi="Times New Roman" w:eastAsia="Times New Roman" w:cs="Times New Roman"/>
                <w:sz w:val="20"/>
                <w:szCs w:val="20"/>
              </w:rPr>
            </w:pPr>
          </w:p>
        </w:tc>
        <w:tc>
          <w:tcPr>
            <w:tcW w:w="1475" w:type="dxa"/>
            <w:tcBorders>
              <w:top w:val="single" w:color="auto" w:sz="4" w:space="0"/>
              <w:left w:val="nil"/>
              <w:bottom w:val="single" w:color="auto" w:sz="4" w:space="0"/>
              <w:right w:val="single" w:color="auto" w:sz="4" w:space="0"/>
            </w:tcBorders>
            <w:vAlign w:val="center"/>
          </w:tcPr>
          <w:p>
            <w:pPr>
              <w:spacing w:beforeAutospacing="1" w:afterAutospacing="1"/>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574" w:hRule="exac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restart"/>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效益指标（30）</w:t>
            </w:r>
          </w:p>
        </w:tc>
        <w:tc>
          <w:tcPr>
            <w:tcW w:w="0" w:type="auto"/>
            <w:gridSpan w:val="2"/>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经济效益指标</w:t>
            </w:r>
          </w:p>
        </w:tc>
        <w:tc>
          <w:tcPr>
            <w:tcW w:w="0" w:type="auto"/>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r>
              <w:rPr>
                <w:rFonts w:hint="eastAsia"/>
                <w:sz w:val="18"/>
                <w:szCs w:val="18"/>
              </w:rPr>
              <w:t>缓解企业资金紧张问题</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5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c>
          <w:tcPr>
            <w:tcW w:w="68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c>
          <w:tcPr>
            <w:tcW w:w="1475"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sz w:val="18"/>
                <w:szCs w:val="18"/>
              </w:rPr>
              <w:t>缓解企业资金紧张问题</w:t>
            </w:r>
          </w:p>
        </w:tc>
      </w:tr>
      <w:tr>
        <w:tblPrEx>
          <w:tblCellMar>
            <w:top w:w="0" w:type="dxa"/>
            <w:left w:w="108" w:type="dxa"/>
            <w:bottom w:w="0" w:type="dxa"/>
            <w:right w:w="108" w:type="dxa"/>
          </w:tblCellMar>
        </w:tblPrEx>
        <w:trPr>
          <w:trHeight w:val="574" w:hRule="exac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gridSpan w:val="2"/>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社会效益指标</w:t>
            </w:r>
          </w:p>
        </w:tc>
        <w:tc>
          <w:tcPr>
            <w:tcW w:w="0" w:type="auto"/>
            <w:tcBorders>
              <w:top w:val="single" w:color="auto" w:sz="4" w:space="0"/>
              <w:left w:val="nil"/>
              <w:bottom w:val="single" w:color="auto" w:sz="4" w:space="0"/>
              <w:right w:val="single" w:color="auto" w:sz="4" w:space="0"/>
            </w:tcBorders>
          </w:tcPr>
          <w:p>
            <w:pPr>
              <w:rPr>
                <w:sz w:val="18"/>
                <w:szCs w:val="18"/>
              </w:rPr>
            </w:pPr>
            <w:r>
              <w:rPr>
                <w:rFonts w:hint="eastAsia"/>
                <w:color w:val="000000"/>
                <w:sz w:val="18"/>
                <w:szCs w:val="18"/>
              </w:rPr>
              <w:t>做好亚麻厂职工安置工作</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5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c>
          <w:tcPr>
            <w:tcW w:w="68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c>
          <w:tcPr>
            <w:tcW w:w="1475"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color w:val="000000"/>
                <w:sz w:val="18"/>
                <w:szCs w:val="18"/>
              </w:rPr>
              <w:t>发放工资、日常经费</w:t>
            </w:r>
            <w:r>
              <w:rPr>
                <w:rFonts w:hint="eastAsia"/>
                <w:sz w:val="18"/>
                <w:szCs w:val="18"/>
              </w:rPr>
              <w:t>　</w:t>
            </w:r>
          </w:p>
        </w:tc>
      </w:tr>
      <w:tr>
        <w:tblPrEx>
          <w:tblCellMar>
            <w:top w:w="0" w:type="dxa"/>
            <w:left w:w="108" w:type="dxa"/>
            <w:bottom w:w="0" w:type="dxa"/>
            <w:right w:w="108" w:type="dxa"/>
          </w:tblCellMar>
        </w:tblPrEx>
        <w:trPr>
          <w:trHeight w:val="504" w:hRule="exac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gridSpan w:val="2"/>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生态效益指标</w:t>
            </w:r>
          </w:p>
        </w:tc>
        <w:tc>
          <w:tcPr>
            <w:tcW w:w="0" w:type="auto"/>
            <w:tcBorders>
              <w:top w:val="single" w:color="auto" w:sz="4" w:space="0"/>
              <w:left w:val="nil"/>
              <w:bottom w:val="single" w:color="auto" w:sz="4" w:space="0"/>
              <w:right w:val="single" w:color="auto" w:sz="4" w:space="0"/>
            </w:tcBorders>
          </w:tcPr>
          <w:p>
            <w:pPr>
              <w:rPr>
                <w:sz w:val="18"/>
                <w:szCs w:val="18"/>
              </w:rPr>
            </w:pPr>
            <w:r>
              <w:rPr>
                <w:rFonts w:hint="eastAsia"/>
                <w:color w:val="000000"/>
                <w:sz w:val="18"/>
                <w:szCs w:val="18"/>
              </w:rPr>
              <w:t>促进社会稳定</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5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5　</w:t>
            </w:r>
          </w:p>
        </w:tc>
        <w:tc>
          <w:tcPr>
            <w:tcW w:w="68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5　</w:t>
            </w:r>
          </w:p>
        </w:tc>
        <w:tc>
          <w:tcPr>
            <w:tcW w:w="1475"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sz w:val="18"/>
                <w:szCs w:val="18"/>
              </w:rPr>
              <w:t>对职工生活有所帮助</w:t>
            </w:r>
          </w:p>
        </w:tc>
      </w:tr>
      <w:tr>
        <w:tblPrEx>
          <w:tblCellMar>
            <w:top w:w="0" w:type="dxa"/>
            <w:left w:w="108" w:type="dxa"/>
            <w:bottom w:w="0" w:type="dxa"/>
            <w:right w:w="108" w:type="dxa"/>
          </w:tblCellMar>
        </w:tblPrEx>
        <w:trPr>
          <w:trHeight w:val="559" w:hRule="exac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gridSpan w:val="2"/>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可持续影响指标</w:t>
            </w:r>
          </w:p>
        </w:tc>
        <w:tc>
          <w:tcPr>
            <w:tcW w:w="0" w:type="auto"/>
            <w:tcBorders>
              <w:top w:val="single" w:color="auto" w:sz="4" w:space="0"/>
              <w:left w:val="nil"/>
              <w:bottom w:val="single" w:color="auto" w:sz="4" w:space="0"/>
              <w:right w:val="single" w:color="auto" w:sz="4" w:space="0"/>
            </w:tcBorders>
            <w:vAlign w:val="center"/>
          </w:tcPr>
          <w:p>
            <w:pPr>
              <w:spacing w:line="240" w:lineRule="exact"/>
              <w:rPr>
                <w:color w:val="000000"/>
                <w:sz w:val="18"/>
                <w:szCs w:val="18"/>
              </w:rPr>
            </w:pPr>
            <w:r>
              <w:rPr>
                <w:rFonts w:hint="eastAsia"/>
                <w:color w:val="000000"/>
                <w:sz w:val="18"/>
                <w:szCs w:val="18"/>
              </w:rPr>
              <w:t>持续促进国企改革</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5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5　</w:t>
            </w:r>
          </w:p>
        </w:tc>
        <w:tc>
          <w:tcPr>
            <w:tcW w:w="68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5</w:t>
            </w:r>
          </w:p>
        </w:tc>
        <w:tc>
          <w:tcPr>
            <w:tcW w:w="1475"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color w:val="000000"/>
                <w:sz w:val="18"/>
                <w:szCs w:val="18"/>
              </w:rPr>
              <w:t>促进社会稳定</w:t>
            </w:r>
          </w:p>
        </w:tc>
      </w:tr>
      <w:tr>
        <w:tblPrEx>
          <w:tblCellMar>
            <w:top w:w="0" w:type="dxa"/>
            <w:left w:w="108" w:type="dxa"/>
            <w:bottom w:w="0" w:type="dxa"/>
            <w:right w:w="108" w:type="dxa"/>
          </w:tblCellMar>
        </w:tblPrEx>
        <w:trPr>
          <w:trHeight w:val="1049" w:hRule="exact"/>
          <w:jc w:val="center"/>
        </w:trPr>
        <w:tc>
          <w:tcPr>
            <w:tcW w:w="0" w:type="auto"/>
            <w:vMerge w:val="continue"/>
            <w:tcBorders>
              <w:top w:val="nil"/>
              <w:left w:val="single" w:color="auto" w:sz="4" w:space="0"/>
              <w:bottom w:val="single" w:color="auto" w:sz="4" w:space="0"/>
              <w:right w:val="single" w:color="auto" w:sz="4" w:space="0"/>
            </w:tcBorders>
            <w:vAlign w:val="center"/>
          </w:tcPr>
          <w:p>
            <w:pPr>
              <w:rPr>
                <w:sz w:val="18"/>
                <w:szCs w:val="18"/>
              </w:rPr>
            </w:pPr>
          </w:p>
        </w:tc>
        <w:tc>
          <w:tcPr>
            <w:tcW w:w="0" w:type="auto"/>
            <w:tcBorders>
              <w:top w:val="nil"/>
              <w:left w:val="single" w:color="auto" w:sz="4" w:space="0"/>
              <w:bottom w:val="single" w:color="auto" w:sz="4" w:space="0"/>
              <w:right w:val="single" w:color="auto" w:sz="4" w:space="0"/>
            </w:tcBorders>
            <w:vAlign w:val="center"/>
          </w:tcPr>
          <w:p>
            <w:pPr>
              <w:spacing w:line="200" w:lineRule="exact"/>
              <w:jc w:val="center"/>
              <w:rPr>
                <w:sz w:val="18"/>
                <w:szCs w:val="18"/>
              </w:rPr>
            </w:pPr>
            <w:r>
              <w:rPr>
                <w:rFonts w:hint="eastAsia"/>
                <w:sz w:val="18"/>
                <w:szCs w:val="18"/>
              </w:rPr>
              <w:t>满意度</w:t>
            </w:r>
          </w:p>
          <w:p>
            <w:pPr>
              <w:spacing w:line="200" w:lineRule="exact"/>
              <w:jc w:val="center"/>
              <w:rPr>
                <w:sz w:val="18"/>
                <w:szCs w:val="18"/>
              </w:rPr>
            </w:pPr>
            <w:r>
              <w:rPr>
                <w:rFonts w:hint="eastAsia"/>
                <w:sz w:val="18"/>
                <w:szCs w:val="18"/>
              </w:rPr>
              <w:t>指标（20）</w:t>
            </w:r>
          </w:p>
        </w:tc>
        <w:tc>
          <w:tcPr>
            <w:tcW w:w="0" w:type="auto"/>
            <w:gridSpan w:val="2"/>
            <w:tcBorders>
              <w:top w:val="nil"/>
              <w:left w:val="single" w:color="auto" w:sz="4" w:space="0"/>
              <w:bottom w:val="single" w:color="auto" w:sz="4" w:space="0"/>
              <w:right w:val="single" w:color="auto" w:sz="4" w:space="0"/>
            </w:tcBorders>
            <w:vAlign w:val="center"/>
          </w:tcPr>
          <w:p>
            <w:pPr>
              <w:spacing w:line="240" w:lineRule="exact"/>
              <w:jc w:val="center"/>
              <w:rPr>
                <w:sz w:val="18"/>
                <w:szCs w:val="18"/>
              </w:rPr>
            </w:pPr>
            <w:r>
              <w:rPr>
                <w:rFonts w:hint="eastAsia"/>
                <w:sz w:val="18"/>
                <w:szCs w:val="18"/>
              </w:rPr>
              <w:t>服务对象</w:t>
            </w:r>
          </w:p>
          <w:p>
            <w:pPr>
              <w:spacing w:line="240" w:lineRule="exact"/>
              <w:jc w:val="center"/>
              <w:rPr>
                <w:sz w:val="18"/>
                <w:szCs w:val="18"/>
              </w:rPr>
            </w:pPr>
            <w:r>
              <w:rPr>
                <w:rFonts w:hint="eastAsia"/>
                <w:sz w:val="18"/>
                <w:szCs w:val="18"/>
              </w:rPr>
              <w:t>满意度指标</w:t>
            </w:r>
          </w:p>
        </w:tc>
        <w:tc>
          <w:tcPr>
            <w:tcW w:w="0" w:type="auto"/>
            <w:tcBorders>
              <w:top w:val="single" w:color="auto" w:sz="4" w:space="0"/>
              <w:left w:val="nil"/>
              <w:bottom w:val="single" w:color="auto" w:sz="4" w:space="0"/>
              <w:right w:val="single" w:color="auto" w:sz="4" w:space="0"/>
            </w:tcBorders>
          </w:tcPr>
          <w:p>
            <w:pPr>
              <w:adjustRightInd w:val="0"/>
              <w:spacing w:before="100" w:beforeAutospacing="1" w:after="100" w:afterAutospacing="1"/>
              <w:rPr>
                <w:sz w:val="18"/>
                <w:szCs w:val="18"/>
              </w:rPr>
            </w:pPr>
            <w:r>
              <w:rPr>
                <w:rFonts w:hint="eastAsia"/>
                <w:sz w:val="18"/>
                <w:szCs w:val="18"/>
              </w:rPr>
              <w:t>留守人员正常工作</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0" w:type="auto"/>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100%　　</w:t>
            </w:r>
          </w:p>
        </w:tc>
        <w:tc>
          <w:tcPr>
            <w:tcW w:w="540"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10　</w:t>
            </w:r>
          </w:p>
        </w:tc>
        <w:tc>
          <w:tcPr>
            <w:tcW w:w="683" w:type="dxa"/>
            <w:tcBorders>
              <w:top w:val="nil"/>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18</w:t>
            </w:r>
          </w:p>
        </w:tc>
        <w:tc>
          <w:tcPr>
            <w:tcW w:w="1475" w:type="dxa"/>
            <w:tcBorders>
              <w:top w:val="single" w:color="auto" w:sz="4" w:space="0"/>
              <w:left w:val="nil"/>
              <w:bottom w:val="single" w:color="auto" w:sz="4" w:space="0"/>
              <w:right w:val="single" w:color="auto" w:sz="4" w:space="0"/>
            </w:tcBorders>
            <w:vAlign w:val="center"/>
          </w:tcPr>
          <w:p>
            <w:pPr>
              <w:spacing w:line="240" w:lineRule="exact"/>
              <w:rPr>
                <w:sz w:val="18"/>
                <w:szCs w:val="18"/>
              </w:rPr>
            </w:pPr>
            <w:r>
              <w:rPr>
                <w:rFonts w:hint="eastAsia"/>
                <w:color w:val="000000"/>
                <w:sz w:val="18"/>
                <w:szCs w:val="18"/>
              </w:rPr>
              <w:t>维护国有企业职工合法权益和社会和谐稳定</w:t>
            </w:r>
            <w:r>
              <w:rPr>
                <w:rFonts w:hint="eastAsia"/>
                <w:sz w:val="18"/>
                <w:szCs w:val="18"/>
              </w:rPr>
              <w:t>　</w:t>
            </w:r>
          </w:p>
        </w:tc>
      </w:tr>
      <w:tr>
        <w:tblPrEx>
          <w:tblCellMar>
            <w:top w:w="0" w:type="dxa"/>
            <w:left w:w="108" w:type="dxa"/>
            <w:bottom w:w="0" w:type="dxa"/>
            <w:right w:w="108" w:type="dxa"/>
          </w:tblCellMar>
        </w:tblPrEx>
        <w:trPr>
          <w:trHeight w:val="284" w:hRule="atLeast"/>
          <w:jc w:val="center"/>
        </w:trPr>
        <w:tc>
          <w:tcPr>
            <w:tcW w:w="0" w:type="auto"/>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总    分</w:t>
            </w:r>
          </w:p>
        </w:tc>
        <w:tc>
          <w:tcPr>
            <w:tcW w:w="540" w:type="dxa"/>
            <w:tcBorders>
              <w:top w:val="nil"/>
              <w:left w:val="nil"/>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100</w:t>
            </w:r>
          </w:p>
        </w:tc>
        <w:tc>
          <w:tcPr>
            <w:tcW w:w="683" w:type="dxa"/>
            <w:tcBorders>
              <w:top w:val="nil"/>
              <w:left w:val="nil"/>
              <w:bottom w:val="single" w:color="auto" w:sz="4" w:space="0"/>
              <w:right w:val="single" w:color="auto" w:sz="4" w:space="0"/>
            </w:tcBorders>
            <w:vAlign w:val="center"/>
          </w:tcPr>
          <w:p>
            <w:pPr>
              <w:spacing w:line="240" w:lineRule="exact"/>
              <w:jc w:val="center"/>
              <w:rPr>
                <w:color w:val="000000"/>
                <w:sz w:val="18"/>
                <w:szCs w:val="18"/>
              </w:rPr>
            </w:pPr>
            <w:r>
              <w:rPr>
                <w:rFonts w:hint="eastAsia"/>
                <w:color w:val="000000"/>
                <w:sz w:val="18"/>
                <w:szCs w:val="18"/>
              </w:rPr>
              <w:t>98　</w:t>
            </w:r>
          </w:p>
        </w:tc>
        <w:tc>
          <w:tcPr>
            <w:tcW w:w="1475" w:type="dxa"/>
            <w:tcBorders>
              <w:top w:val="single" w:color="auto" w:sz="4" w:space="0"/>
              <w:left w:val="nil"/>
              <w:bottom w:val="single" w:color="auto" w:sz="4" w:space="0"/>
              <w:right w:val="single" w:color="auto" w:sz="4" w:space="0"/>
            </w:tcBorders>
            <w:vAlign w:val="center"/>
          </w:tcPr>
          <w:p>
            <w:pPr>
              <w:spacing w:line="240" w:lineRule="exact"/>
              <w:jc w:val="center"/>
              <w:rPr>
                <w:sz w:val="18"/>
                <w:szCs w:val="18"/>
              </w:rPr>
            </w:pPr>
            <w:r>
              <w:rPr>
                <w:rFonts w:hint="eastAsia"/>
                <w:sz w:val="18"/>
                <w:szCs w:val="18"/>
              </w:rPr>
              <w:t>　</w:t>
            </w:r>
          </w:p>
        </w:tc>
      </w:tr>
    </w:tbl>
    <w:p>
      <w:pPr>
        <w:ind w:firstLine="643"/>
        <w:jc w:val="both"/>
        <w:rPr>
          <w:rFonts w:ascii="楷体" w:hAnsi="楷体" w:eastAsia="楷体"/>
          <w:b/>
          <w:kern w:val="2"/>
          <w:sz w:val="32"/>
          <w:szCs w:val="32"/>
        </w:rPr>
      </w:pPr>
    </w:p>
    <w:p>
      <w:pPr>
        <w:ind w:firstLine="643"/>
        <w:jc w:val="both"/>
        <w:rPr>
          <w:rFonts w:ascii="Times New Roman" w:hAnsi="Times New Roman" w:eastAsia="楷体"/>
          <w:b/>
          <w:kern w:val="2"/>
          <w:sz w:val="32"/>
          <w:szCs w:val="32"/>
        </w:rPr>
      </w:pPr>
      <w:r>
        <w:rPr>
          <w:rFonts w:hint="eastAsia" w:ascii="楷体" w:hAnsi="楷体" w:eastAsia="楷体"/>
          <w:b/>
          <w:kern w:val="2"/>
          <w:sz w:val="32"/>
          <w:szCs w:val="32"/>
        </w:rPr>
        <w:t>（三）项目绩效评价结果。</w:t>
      </w:r>
    </w:p>
    <w:p>
      <w:pPr>
        <w:spacing w:before="100" w:beforeAutospacing="1" w:after="100" w:afterAutospacing="1" w:line="560" w:lineRule="atLeast"/>
        <w:ind w:firstLine="640"/>
        <w:jc w:val="both"/>
        <w:rPr>
          <w:sz w:val="32"/>
          <w:szCs w:val="32"/>
        </w:rPr>
      </w:pPr>
      <w:r>
        <w:rPr>
          <w:rFonts w:hint="eastAsia" w:cs="仿宋_GB2312"/>
          <w:kern w:val="2"/>
          <w:sz w:val="32"/>
          <w:szCs w:val="32"/>
        </w:rPr>
        <w:t>本单位未进行重点项目绩效评价。</w:t>
      </w:r>
    </w:p>
    <w:p>
      <w:pPr>
        <w:spacing w:before="100" w:beforeAutospacing="1" w:after="100" w:afterAutospacing="1"/>
        <w:ind w:firstLine="643"/>
        <w:jc w:val="both"/>
      </w:pPr>
      <w:r>
        <w:rPr>
          <w:rFonts w:hint="eastAsia"/>
          <w:color w:val="0000FF"/>
          <w:sz w:val="32"/>
          <w:szCs w:val="32"/>
        </w:rPr>
        <w:t xml:space="preserve"> </w:t>
      </w:r>
      <w:r>
        <w:rPr>
          <w:rFonts w:hint="eastAsia" w:ascii="楷体" w:hAnsi="楷体" w:eastAsia="楷体" w:cs="楷体"/>
          <w:b/>
          <w:bCs/>
          <w:sz w:val="32"/>
          <w:szCs w:val="32"/>
        </w:rPr>
        <w:t>（一）预算绩效管理工作开展情况。</w:t>
      </w:r>
    </w:p>
    <w:p>
      <w:pPr>
        <w:spacing w:before="100" w:beforeAutospacing="1" w:after="100" w:afterAutospacing="1" w:line="560" w:lineRule="atLeast"/>
        <w:ind w:firstLine="640"/>
        <w:jc w:val="both"/>
      </w:pPr>
      <w:r>
        <w:rPr>
          <w:rFonts w:hint="eastAsia"/>
          <w:sz w:val="32"/>
          <w:szCs w:val="32"/>
        </w:rPr>
        <w:t>包头市国资国企改革发展促进中心单位根据预算绩效管理要求组织对2022年一般公共预算项目支出全面开展绩效自评，其中一级项目</w:t>
      </w:r>
      <w:r>
        <w:rPr>
          <w:rFonts w:hint="eastAsia" w:ascii="Times New Roman" w:hAnsi="Times New Roman" w:cs="Times New Roman"/>
          <w:sz w:val="32"/>
          <w:szCs w:val="32"/>
        </w:rPr>
        <w:t>0</w:t>
      </w:r>
      <w:r>
        <w:rPr>
          <w:rFonts w:hint="eastAsia"/>
          <w:sz w:val="32"/>
          <w:szCs w:val="32"/>
        </w:rPr>
        <w:t>个，二级项目</w:t>
      </w:r>
      <w:r>
        <w:rPr>
          <w:rFonts w:hint="eastAsia" w:ascii="Times New Roman" w:hAnsi="Times New Roman" w:cs="Times New Roman"/>
          <w:sz w:val="32"/>
          <w:szCs w:val="32"/>
        </w:rPr>
        <w:t>3</w:t>
      </w:r>
      <w:r>
        <w:rPr>
          <w:rFonts w:hint="eastAsia"/>
          <w:sz w:val="32"/>
          <w:szCs w:val="32"/>
        </w:rPr>
        <w:t>个，共涉及资金</w:t>
      </w:r>
      <w:r>
        <w:rPr>
          <w:rFonts w:ascii="Times New Roman" w:hAnsi="Times New Roman" w:cs="Times New Roman"/>
          <w:sz w:val="32"/>
          <w:szCs w:val="32"/>
        </w:rPr>
        <w:t>114.49</w:t>
      </w:r>
      <w:r>
        <w:rPr>
          <w:rFonts w:hint="eastAsia"/>
          <w:sz w:val="32"/>
          <w:szCs w:val="32"/>
        </w:rPr>
        <w:t>万元，占一般公共预算项目支出总额的</w:t>
      </w:r>
      <w:r>
        <w:rPr>
          <w:rFonts w:ascii="Times New Roman" w:hAnsi="Times New Roman" w:cs="Times New Roman"/>
          <w:sz w:val="32"/>
          <w:szCs w:val="32"/>
        </w:rPr>
        <w:t>100</w:t>
      </w:r>
      <w:r>
        <w:rPr>
          <w:rFonts w:hint="eastAsia"/>
          <w:sz w:val="32"/>
          <w:szCs w:val="32"/>
        </w:rPr>
        <w:t>%；政府性基金预算项目</w:t>
      </w:r>
      <w:r>
        <w:rPr>
          <w:rFonts w:ascii="Times New Roman" w:hAnsi="Times New Roman" w:cs="Times New Roman"/>
          <w:sz w:val="32"/>
          <w:szCs w:val="32"/>
        </w:rPr>
        <w:t xml:space="preserve">0 </w:t>
      </w:r>
      <w:r>
        <w:rPr>
          <w:rFonts w:hint="eastAsia"/>
          <w:sz w:val="32"/>
          <w:szCs w:val="32"/>
        </w:rPr>
        <w:t>个，其中，一级项目</w:t>
      </w:r>
      <w:r>
        <w:rPr>
          <w:rFonts w:ascii="Times New Roman" w:hAnsi="Times New Roman" w:cs="Times New Roman"/>
          <w:sz w:val="32"/>
          <w:szCs w:val="32"/>
        </w:rPr>
        <w:t xml:space="preserve">0 </w:t>
      </w:r>
      <w:r>
        <w:rPr>
          <w:rFonts w:hint="eastAsia"/>
          <w:sz w:val="32"/>
          <w:szCs w:val="32"/>
        </w:rPr>
        <w:t>个，二级项目</w:t>
      </w:r>
      <w:r>
        <w:rPr>
          <w:rFonts w:ascii="Times New Roman" w:hAnsi="Times New Roman" w:cs="Times New Roman"/>
          <w:sz w:val="32"/>
          <w:szCs w:val="32"/>
        </w:rPr>
        <w:t>0</w:t>
      </w:r>
      <w:r>
        <w:rPr>
          <w:rFonts w:hint="eastAsia"/>
          <w:sz w:val="32"/>
          <w:szCs w:val="32"/>
        </w:rPr>
        <w:t>个，共涉及资金</w:t>
      </w:r>
      <w:r>
        <w:rPr>
          <w:rFonts w:ascii="Times New Roman" w:hAnsi="Times New Roman" w:cs="Times New Roman"/>
          <w:sz w:val="32"/>
          <w:szCs w:val="32"/>
        </w:rPr>
        <w:t>0.00</w:t>
      </w:r>
      <w:r>
        <w:rPr>
          <w:rFonts w:hint="eastAsia"/>
          <w:sz w:val="32"/>
          <w:szCs w:val="32"/>
        </w:rPr>
        <w:t>万元，占应纳入绩效自评的政府性基金预算项目支出总额的</w:t>
      </w:r>
      <w:r>
        <w:rPr>
          <w:rFonts w:ascii="Times New Roman" w:hAnsi="Times New Roman" w:cs="Times New Roman"/>
          <w:sz w:val="32"/>
          <w:szCs w:val="32"/>
        </w:rPr>
        <w:t>100</w:t>
      </w:r>
      <w:r>
        <w:rPr>
          <w:rFonts w:hint="eastAsia"/>
          <w:sz w:val="32"/>
          <w:szCs w:val="32"/>
        </w:rPr>
        <w:t>%。</w:t>
      </w:r>
    </w:p>
    <w:p>
      <w:pPr>
        <w:spacing w:before="100" w:beforeAutospacing="1" w:after="100" w:afterAutospacing="1"/>
        <w:ind w:firstLine="643"/>
        <w:jc w:val="both"/>
      </w:pPr>
      <w:r>
        <w:rPr>
          <w:rFonts w:hint="eastAsia" w:ascii="楷体" w:hAnsi="楷体" w:eastAsia="楷体" w:cs="楷体"/>
          <w:b/>
          <w:bCs/>
          <w:sz w:val="32"/>
          <w:szCs w:val="32"/>
        </w:rPr>
        <w:t>（二）单位决算中项目绩效自评结果。</w:t>
      </w:r>
    </w:p>
    <w:p>
      <w:pPr>
        <w:spacing w:before="100" w:beforeAutospacing="1" w:after="100" w:afterAutospacing="1" w:line="560" w:lineRule="atLeast"/>
        <w:ind w:firstLine="640"/>
        <w:jc w:val="both"/>
      </w:pPr>
      <w:r>
        <w:rPr>
          <w:rFonts w:hint="eastAsia"/>
          <w:sz w:val="32"/>
          <w:szCs w:val="32"/>
        </w:rPr>
        <w:t>包头市国资国企改革发展促进中心单位2022年度在决算中反映</w:t>
      </w:r>
      <w:r>
        <w:rPr>
          <w:rFonts w:ascii="Times New Roman" w:hAnsi="Times New Roman" w:cs="Times New Roman"/>
          <w:sz w:val="32"/>
          <w:szCs w:val="32"/>
        </w:rPr>
        <w:t xml:space="preserve">3 </w:t>
      </w:r>
      <w:r>
        <w:rPr>
          <w:rFonts w:hint="eastAsia"/>
          <w:sz w:val="32"/>
          <w:szCs w:val="32"/>
        </w:rPr>
        <w:t>个一般公共预算项目，以及</w:t>
      </w:r>
      <w:r>
        <w:rPr>
          <w:rFonts w:ascii="Times New Roman" w:hAnsi="Times New Roman" w:cs="Times New Roman"/>
          <w:sz w:val="32"/>
          <w:szCs w:val="32"/>
        </w:rPr>
        <w:t xml:space="preserve"> 0</w:t>
      </w:r>
      <w:r>
        <w:rPr>
          <w:rFonts w:hint="eastAsia"/>
          <w:sz w:val="32"/>
          <w:szCs w:val="32"/>
        </w:rPr>
        <w:t>个政府性基金项目。</w:t>
      </w:r>
      <w:r>
        <w:rPr>
          <w:rFonts w:hint="eastAsia" w:hAnsi="Times New Roman" w:cs="仿宋_GB2312"/>
          <w:kern w:val="2"/>
          <w:sz w:val="32"/>
          <w:szCs w:val="32"/>
        </w:rPr>
        <w:t>共</w:t>
      </w:r>
      <w:r>
        <w:rPr>
          <w:rFonts w:hint="eastAsia" w:ascii="Times New Roman" w:hAnsi="Times New Roman"/>
          <w:kern w:val="2"/>
          <w:sz w:val="32"/>
          <w:szCs w:val="32"/>
        </w:rPr>
        <w:t>3</w:t>
      </w:r>
      <w:r>
        <w:rPr>
          <w:rFonts w:hint="eastAsia" w:hAnsi="Times New Roman" w:cs="仿宋_GB2312"/>
          <w:kern w:val="2"/>
          <w:sz w:val="32"/>
          <w:szCs w:val="32"/>
        </w:rPr>
        <w:t>个项目的绩效自评结果。</w:t>
      </w:r>
    </w:p>
    <w:p>
      <w:pPr>
        <w:spacing w:before="100" w:beforeAutospacing="1" w:after="100" w:afterAutospacing="1" w:line="560" w:lineRule="atLeast"/>
        <w:ind w:firstLine="640" w:firstLineChars="200"/>
        <w:jc w:val="both"/>
        <w:rPr>
          <w:sz w:val="32"/>
          <w:szCs w:val="32"/>
        </w:rPr>
      </w:pPr>
      <w:r>
        <w:rPr>
          <w:rFonts w:hint="eastAsia" w:ascii="Times New Roman" w:hAnsi="Times New Roman" w:cs="Times New Roman"/>
          <w:sz w:val="32"/>
          <w:szCs w:val="32"/>
        </w:rPr>
        <w:t>1.</w:t>
      </w:r>
      <w:r>
        <w:rPr>
          <w:rFonts w:hint="eastAsia"/>
          <w:sz w:val="32"/>
          <w:szCs w:val="32"/>
        </w:rPr>
        <w:t>机械所/化工所职工生活补贴，社保费及职业年金项目自评综述：根据年初设定的绩效目标，项目自评得分</w:t>
      </w:r>
      <w:r>
        <w:rPr>
          <w:rFonts w:ascii="Times New Roman" w:hAnsi="Times New Roman" w:cs="Times New Roman"/>
          <w:sz w:val="32"/>
          <w:szCs w:val="32"/>
        </w:rPr>
        <w:t xml:space="preserve">95 </w:t>
      </w:r>
      <w:r>
        <w:rPr>
          <w:rFonts w:hint="eastAsia"/>
          <w:sz w:val="32"/>
          <w:szCs w:val="32"/>
        </w:rPr>
        <w:t>分。全年预算数为</w:t>
      </w:r>
      <w:r>
        <w:rPr>
          <w:rFonts w:ascii="Times New Roman" w:hAnsi="Times New Roman" w:cs="Times New Roman"/>
          <w:sz w:val="32"/>
          <w:szCs w:val="32"/>
        </w:rPr>
        <w:t>80.69</w:t>
      </w:r>
      <w:r>
        <w:rPr>
          <w:rFonts w:hint="eastAsia"/>
          <w:sz w:val="32"/>
          <w:szCs w:val="32"/>
        </w:rPr>
        <w:t>万元，执行数为</w:t>
      </w:r>
      <w:r>
        <w:rPr>
          <w:rFonts w:ascii="Times New Roman" w:hAnsi="Times New Roman" w:cs="Times New Roman"/>
          <w:sz w:val="32"/>
          <w:szCs w:val="32"/>
        </w:rPr>
        <w:t xml:space="preserve">80.69 </w:t>
      </w:r>
      <w:r>
        <w:rPr>
          <w:rFonts w:hint="eastAsia"/>
          <w:sz w:val="32"/>
          <w:szCs w:val="32"/>
        </w:rPr>
        <w:t>万元，完成预算的</w:t>
      </w:r>
      <w:r>
        <w:rPr>
          <w:rFonts w:ascii="Times New Roman" w:hAnsi="Times New Roman" w:cs="Times New Roman"/>
          <w:sz w:val="32"/>
          <w:szCs w:val="32"/>
        </w:rPr>
        <w:t xml:space="preserve"> 100 </w:t>
      </w:r>
      <w:r>
        <w:rPr>
          <w:rFonts w:hint="eastAsia"/>
          <w:sz w:val="32"/>
          <w:szCs w:val="32"/>
        </w:rPr>
        <w:t>%。项目绩效目标完成情况：为机械所/化工所职工按月发放生活补贴，按月为其缴纳社保费及职业年金。发现的主要问题及原因：无。下一步改进措施：无。</w:t>
      </w:r>
    </w:p>
    <w:p>
      <w:pPr>
        <w:spacing w:before="100" w:beforeAutospacing="1" w:after="100" w:afterAutospacing="1" w:line="560" w:lineRule="atLeast"/>
        <w:ind w:firstLine="640" w:firstLineChars="200"/>
        <w:jc w:val="both"/>
      </w:pPr>
      <w:r>
        <w:rPr>
          <w:rFonts w:hint="eastAsia" w:ascii="Times New Roman" w:hAnsi="Times New Roman" w:cs="Times New Roman"/>
          <w:sz w:val="32"/>
          <w:szCs w:val="32"/>
        </w:rPr>
        <w:t>2.</w:t>
      </w:r>
      <w:r>
        <w:rPr>
          <w:rFonts w:hint="eastAsia"/>
          <w:sz w:val="32"/>
          <w:szCs w:val="32"/>
        </w:rPr>
        <w:t>机械工业技工学校人员养老、医保及职业年金欠费单位应缴部分项目自评综述：根据年初设定的绩效目标，项目自评得分</w:t>
      </w:r>
      <w:r>
        <w:rPr>
          <w:rFonts w:ascii="Times New Roman" w:hAnsi="Times New Roman" w:cs="Times New Roman"/>
          <w:sz w:val="32"/>
          <w:szCs w:val="32"/>
        </w:rPr>
        <w:t>9</w:t>
      </w:r>
      <w:r>
        <w:rPr>
          <w:rFonts w:hint="eastAsia" w:ascii="Times New Roman" w:hAnsi="Times New Roman" w:cs="Times New Roman"/>
          <w:sz w:val="32"/>
          <w:szCs w:val="32"/>
        </w:rPr>
        <w:t>7</w:t>
      </w:r>
      <w:r>
        <w:rPr>
          <w:rFonts w:hint="eastAsia"/>
          <w:sz w:val="32"/>
          <w:szCs w:val="32"/>
        </w:rPr>
        <w:t>分。全年预算数为</w:t>
      </w:r>
      <w:r>
        <w:rPr>
          <w:rFonts w:hint="eastAsia" w:ascii="Times New Roman" w:hAnsi="Times New Roman" w:cs="Times New Roman"/>
          <w:sz w:val="32"/>
          <w:szCs w:val="32"/>
        </w:rPr>
        <w:t>30.11</w:t>
      </w:r>
      <w:r>
        <w:rPr>
          <w:rFonts w:hint="eastAsia"/>
          <w:sz w:val="32"/>
          <w:szCs w:val="32"/>
        </w:rPr>
        <w:t>万元，执行数为</w:t>
      </w:r>
      <w:r>
        <w:rPr>
          <w:rFonts w:hint="eastAsia" w:ascii="Times New Roman" w:hAnsi="Times New Roman" w:cs="Times New Roman"/>
          <w:sz w:val="32"/>
          <w:szCs w:val="32"/>
        </w:rPr>
        <w:t>30.11</w:t>
      </w:r>
      <w:r>
        <w:rPr>
          <w:rFonts w:hint="eastAsia"/>
          <w:sz w:val="32"/>
          <w:szCs w:val="32"/>
        </w:rPr>
        <w:t>万元，完成预算的</w:t>
      </w:r>
      <w:r>
        <w:rPr>
          <w:rFonts w:ascii="Times New Roman" w:hAnsi="Times New Roman" w:cs="Times New Roman"/>
          <w:sz w:val="32"/>
          <w:szCs w:val="32"/>
        </w:rPr>
        <w:t xml:space="preserve"> 100 </w:t>
      </w:r>
      <w:r>
        <w:rPr>
          <w:rFonts w:hint="eastAsia"/>
          <w:sz w:val="32"/>
          <w:szCs w:val="32"/>
        </w:rPr>
        <w:t>%。项目绩效目标完成情况：为机械工业技工学校人员补缴欠缴的养老、医保及职业年金欠费单位应缴部分，保障退休人员享受退休待遇。发现的主要问题及原因：无。下一步改进措施：无。</w:t>
      </w:r>
    </w:p>
    <w:p>
      <w:pPr>
        <w:spacing w:before="100" w:beforeAutospacing="1" w:after="100" w:afterAutospacing="1" w:line="560" w:lineRule="atLeast"/>
        <w:ind w:firstLine="640" w:firstLineChars="200"/>
        <w:jc w:val="both"/>
        <w:rPr>
          <w:sz w:val="32"/>
          <w:szCs w:val="32"/>
        </w:rPr>
      </w:pPr>
      <w:r>
        <w:rPr>
          <w:rFonts w:hint="eastAsia" w:ascii="Times New Roman" w:hAnsi="Times New Roman" w:cs="Times New Roman"/>
          <w:sz w:val="32"/>
          <w:szCs w:val="32"/>
        </w:rPr>
        <w:t>3.</w:t>
      </w:r>
      <w:r>
        <w:rPr>
          <w:rFonts w:hint="eastAsia"/>
          <w:sz w:val="32"/>
          <w:szCs w:val="32"/>
        </w:rPr>
        <w:t>开办经费项目自评综述：根据年初设定的绩效目标，项目自评得分</w:t>
      </w:r>
      <w:r>
        <w:rPr>
          <w:rFonts w:ascii="Times New Roman" w:hAnsi="Times New Roman" w:cs="Times New Roman"/>
          <w:sz w:val="32"/>
          <w:szCs w:val="32"/>
        </w:rPr>
        <w:t>9</w:t>
      </w:r>
      <w:r>
        <w:rPr>
          <w:rFonts w:hint="eastAsia" w:ascii="Times New Roman" w:hAnsi="Times New Roman" w:cs="Times New Roman"/>
          <w:sz w:val="32"/>
          <w:szCs w:val="32"/>
        </w:rPr>
        <w:t>2</w:t>
      </w:r>
      <w:r>
        <w:rPr>
          <w:rFonts w:hint="eastAsia"/>
          <w:sz w:val="32"/>
          <w:szCs w:val="32"/>
        </w:rPr>
        <w:t>分。全年预算数为</w:t>
      </w:r>
      <w:r>
        <w:rPr>
          <w:rFonts w:hint="eastAsia" w:ascii="Times New Roman" w:hAnsi="Times New Roman" w:cs="Times New Roman"/>
          <w:sz w:val="32"/>
          <w:szCs w:val="32"/>
        </w:rPr>
        <w:t>5</w:t>
      </w:r>
      <w:r>
        <w:rPr>
          <w:rFonts w:hint="eastAsia"/>
          <w:sz w:val="32"/>
          <w:szCs w:val="32"/>
        </w:rPr>
        <w:t>万元，执行数为</w:t>
      </w:r>
      <w:r>
        <w:rPr>
          <w:rFonts w:hint="eastAsia" w:ascii="Times New Roman" w:hAnsi="Times New Roman" w:cs="Times New Roman"/>
          <w:sz w:val="32"/>
          <w:szCs w:val="32"/>
        </w:rPr>
        <w:t>3.69</w:t>
      </w:r>
      <w:r>
        <w:rPr>
          <w:rFonts w:hint="eastAsia"/>
          <w:sz w:val="32"/>
          <w:szCs w:val="32"/>
        </w:rPr>
        <w:t>万元，完成预算的</w:t>
      </w:r>
      <w:r>
        <w:rPr>
          <w:rFonts w:hint="eastAsia" w:ascii="Times New Roman" w:hAnsi="Times New Roman" w:cs="Times New Roman"/>
          <w:sz w:val="32"/>
          <w:szCs w:val="32"/>
        </w:rPr>
        <w:t>73.80</w:t>
      </w:r>
      <w:r>
        <w:rPr>
          <w:rFonts w:hint="eastAsia"/>
          <w:sz w:val="32"/>
          <w:szCs w:val="32"/>
        </w:rPr>
        <w:t>%。项目绩效目标完成情况：安排5万元开办经费用于采购办公设备，保障中心日常工作的正常开展。发现的主要问题及原因：无。下一步改进措施：无。</w:t>
      </w:r>
    </w:p>
    <w:p>
      <w:pPr>
        <w:spacing w:before="100" w:beforeAutospacing="1" w:after="100" w:afterAutospacing="1" w:line="560" w:lineRule="atLeast"/>
        <w:ind w:firstLine="640"/>
        <w:jc w:val="both"/>
        <w:rPr>
          <w:rFonts w:hint="eastAsia"/>
          <w:color w:val="0000FF"/>
          <w:sz w:val="32"/>
          <w:szCs w:val="32"/>
        </w:rPr>
      </w:pPr>
      <w:r>
        <w:rPr>
          <w:color w:val="0000FF"/>
          <w:sz w:val="32"/>
          <w:szCs w:val="32"/>
        </w:rPr>
        <w:drawing>
          <wp:inline distT="0" distB="0" distL="0" distR="0">
            <wp:extent cx="5286375" cy="4401820"/>
            <wp:effectExtent l="19050" t="0" r="9303" b="0"/>
            <wp:docPr id="2" name="图片 2" descr="H:\1.机械所化工所生活补贴项目监控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1.机械所化工所生活补贴项目监控表.png"/>
                    <pic:cNvPicPr>
                      <a:picLocks noChangeAspect="1" noChangeArrowheads="1"/>
                    </pic:cNvPicPr>
                  </pic:nvPicPr>
                  <pic:blipFill>
                    <a:blip r:embed="rId4" cstate="print"/>
                    <a:srcRect/>
                    <a:stretch>
                      <a:fillRect/>
                    </a:stretch>
                  </pic:blipFill>
                  <pic:spPr>
                    <a:xfrm>
                      <a:off x="0" y="0"/>
                      <a:ext cx="5286597" cy="4401879"/>
                    </a:xfrm>
                    <a:prstGeom prst="rect">
                      <a:avLst/>
                    </a:prstGeom>
                    <a:noFill/>
                    <a:ln w="9525">
                      <a:noFill/>
                      <a:miter lim="800000"/>
                      <a:headEnd/>
                      <a:tailEnd/>
                    </a:ln>
                  </pic:spPr>
                </pic:pic>
              </a:graphicData>
            </a:graphic>
          </wp:inline>
        </w:drawing>
      </w:r>
    </w:p>
    <w:p>
      <w:pPr>
        <w:spacing w:before="100" w:beforeAutospacing="1" w:after="100" w:afterAutospacing="1" w:line="560" w:lineRule="atLeast"/>
        <w:ind w:firstLine="640"/>
        <w:jc w:val="both"/>
        <w:rPr>
          <w:rFonts w:ascii="Times New Roman" w:hAnsi="Times New Roman" w:cs="Times New Roman"/>
          <w:sz w:val="32"/>
          <w:szCs w:val="32"/>
        </w:rPr>
      </w:pPr>
      <w:r>
        <w:rPr>
          <w:rFonts w:ascii="Times New Roman" w:hAnsi="Times New Roman" w:cs="Times New Roman"/>
          <w:sz w:val="32"/>
          <w:szCs w:val="32"/>
        </w:rPr>
        <w:t xml:space="preserve"> </w:t>
      </w:r>
    </w:p>
    <w:p>
      <w:pPr>
        <w:pStyle w:val="3"/>
        <w:keepNext/>
        <w:spacing w:line="360" w:lineRule="auto"/>
        <w:jc w:val="center"/>
        <w:rPr>
          <w:rFonts w:hint="eastAsia" w:ascii="方正小标宋简体" w:hAnsi="方正小标宋简体"/>
        </w:rPr>
      </w:pPr>
      <w:r>
        <w:rPr>
          <w:rFonts w:hint="eastAsia" w:ascii="方正小标宋简体" w:hAnsi="方正小标宋简体"/>
        </w:rPr>
        <w:drawing>
          <wp:anchor distT="0" distB="0" distL="114300" distR="114300" simplePos="0" relativeHeight="251659264" behindDoc="0" locked="0" layoutInCell="1" allowOverlap="1">
            <wp:simplePos x="0" y="0"/>
            <wp:positionH relativeFrom="column">
              <wp:posOffset>-868680</wp:posOffset>
            </wp:positionH>
            <wp:positionV relativeFrom="paragraph">
              <wp:posOffset>-41910</wp:posOffset>
            </wp:positionV>
            <wp:extent cx="6977380" cy="4678045"/>
            <wp:effectExtent l="19050" t="0" r="0" b="0"/>
            <wp:wrapNone/>
            <wp:docPr id="3" name="图片 3" descr="H:\3.开办经费项目监控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3.开办经费项目监控表.png"/>
                    <pic:cNvPicPr>
                      <a:picLocks noChangeAspect="1" noChangeArrowheads="1"/>
                    </pic:cNvPicPr>
                  </pic:nvPicPr>
                  <pic:blipFill>
                    <a:blip r:embed="rId5" cstate="print"/>
                    <a:srcRect/>
                    <a:stretch>
                      <a:fillRect/>
                    </a:stretch>
                  </pic:blipFill>
                  <pic:spPr>
                    <a:xfrm>
                      <a:off x="0" y="0"/>
                      <a:ext cx="6977173" cy="4678325"/>
                    </a:xfrm>
                    <a:prstGeom prst="rect">
                      <a:avLst/>
                    </a:prstGeom>
                    <a:noFill/>
                    <a:ln w="9525">
                      <a:noFill/>
                      <a:miter lim="800000"/>
                      <a:headEnd/>
                      <a:tailEnd/>
                    </a:ln>
                  </pic:spPr>
                </pic:pic>
              </a:graphicData>
            </a:graphic>
          </wp:anchor>
        </w:drawing>
      </w:r>
    </w:p>
    <w:p>
      <w:pPr>
        <w:pStyle w:val="3"/>
        <w:keepNext/>
        <w:spacing w:line="360" w:lineRule="auto"/>
        <w:jc w:val="center"/>
        <w:rPr>
          <w:rFonts w:hint="eastAsia" w:ascii="方正小标宋简体" w:hAnsi="方正小标宋简体"/>
        </w:rPr>
      </w:pPr>
    </w:p>
    <w:p>
      <w:pPr>
        <w:pStyle w:val="3"/>
        <w:keepNext/>
        <w:spacing w:line="360" w:lineRule="auto"/>
        <w:jc w:val="center"/>
        <w:rPr>
          <w:rFonts w:hint="eastAsia" w:ascii="方正小标宋简体" w:hAnsi="方正小标宋简体"/>
        </w:rPr>
      </w:pPr>
    </w:p>
    <w:p>
      <w:pPr>
        <w:pStyle w:val="3"/>
        <w:keepNext/>
        <w:spacing w:line="360" w:lineRule="auto"/>
        <w:jc w:val="center"/>
        <w:rPr>
          <w:rFonts w:hint="eastAsia" w:ascii="方正小标宋简体" w:hAnsi="方正小标宋简体"/>
        </w:rPr>
      </w:pPr>
    </w:p>
    <w:p>
      <w:pPr>
        <w:pStyle w:val="3"/>
        <w:keepNext/>
        <w:spacing w:line="360" w:lineRule="auto"/>
        <w:jc w:val="center"/>
        <w:rPr>
          <w:rFonts w:hint="eastAsia" w:ascii="方正小标宋简体" w:hAnsi="方正小标宋简体"/>
        </w:rPr>
      </w:pPr>
    </w:p>
    <w:p>
      <w:pPr>
        <w:pStyle w:val="3"/>
        <w:keepNext/>
        <w:spacing w:line="360" w:lineRule="auto"/>
        <w:jc w:val="center"/>
        <w:rPr>
          <w:rFonts w:hint="eastAsia" w:ascii="方正小标宋简体" w:hAnsi="方正小标宋简体"/>
        </w:rPr>
      </w:pPr>
    </w:p>
    <w:p>
      <w:pPr>
        <w:pStyle w:val="3"/>
        <w:keepNext/>
        <w:spacing w:line="360" w:lineRule="auto"/>
        <w:jc w:val="center"/>
        <w:rPr>
          <w:rFonts w:hint="eastAsia" w:ascii="方正小标宋简体" w:hAnsi="方正小标宋简体"/>
        </w:rPr>
      </w:pPr>
    </w:p>
    <w:p>
      <w:pPr>
        <w:pStyle w:val="3"/>
        <w:keepNext/>
        <w:spacing w:line="360" w:lineRule="auto"/>
        <w:jc w:val="center"/>
        <w:rPr>
          <w:rFonts w:hint="eastAsia" w:ascii="方正小标宋简体" w:hAnsi="方正小标宋简体"/>
        </w:rPr>
      </w:pPr>
    </w:p>
    <w:p>
      <w:pPr>
        <w:pStyle w:val="3"/>
        <w:keepNext/>
        <w:spacing w:line="360" w:lineRule="auto"/>
        <w:jc w:val="center"/>
        <w:rPr>
          <w:rFonts w:hint="eastAsia" w:ascii="方正小标宋简体" w:hAnsi="方正小标宋简体"/>
        </w:rPr>
      </w:pPr>
    </w:p>
    <w:p>
      <w:pPr>
        <w:pStyle w:val="3"/>
        <w:keepNext/>
        <w:spacing w:line="360" w:lineRule="auto"/>
        <w:jc w:val="center"/>
        <w:rPr>
          <w:rFonts w:hint="eastAsia" w:ascii="方正小标宋简体" w:hAnsi="方正小标宋简体"/>
        </w:rPr>
      </w:pPr>
    </w:p>
    <w:p>
      <w:pPr>
        <w:pStyle w:val="3"/>
        <w:keepNext/>
        <w:spacing w:line="360" w:lineRule="auto"/>
        <w:jc w:val="center"/>
        <w:rPr>
          <w:rFonts w:hint="eastAsia" w:ascii="方正小标宋简体" w:hAnsi="方正小标宋简体"/>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keepNext/>
        <w:spacing w:line="360" w:lineRule="auto"/>
        <w:rPr>
          <w:rFonts w:hint="eastAsia" w:ascii="方正小标宋简体" w:hAnsi="方正小标宋简体"/>
        </w:rPr>
      </w:pPr>
    </w:p>
    <w:p>
      <w:pPr>
        <w:pStyle w:val="3"/>
        <w:keepNext/>
        <w:spacing w:line="360" w:lineRule="auto"/>
        <w:jc w:val="center"/>
        <w:rPr>
          <w:rFonts w:hint="eastAsia" w:ascii="方正小标宋简体" w:hAnsi="方正小标宋简体"/>
        </w:rPr>
      </w:pPr>
      <w:bookmarkStart w:id="0" w:name="_GoBack"/>
      <w:r>
        <w:rPr>
          <w:rFonts w:ascii="方正小标宋简体" w:hAnsi="方正小标宋简体"/>
        </w:rPr>
        <w:drawing>
          <wp:inline distT="0" distB="0" distL="0" distR="0">
            <wp:extent cx="5280025" cy="3545205"/>
            <wp:effectExtent l="19050" t="0" r="0" b="0"/>
            <wp:docPr id="5" name="图片 5" descr="H:\2.机械学校医保社保项目监控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2.机械学校医保社保项目监控表.png"/>
                    <pic:cNvPicPr>
                      <a:picLocks noChangeAspect="1" noChangeArrowheads="1"/>
                    </pic:cNvPicPr>
                  </pic:nvPicPr>
                  <pic:blipFill>
                    <a:blip r:embed="rId6" cstate="print"/>
                    <a:srcRect/>
                    <a:stretch>
                      <a:fillRect/>
                    </a:stretch>
                  </pic:blipFill>
                  <pic:spPr>
                    <a:xfrm>
                      <a:off x="0" y="0"/>
                      <a:ext cx="5280025" cy="3545582"/>
                    </a:xfrm>
                    <a:prstGeom prst="rect">
                      <a:avLst/>
                    </a:prstGeom>
                    <a:noFill/>
                    <a:ln w="9525">
                      <a:noFill/>
                      <a:miter lim="800000"/>
                      <a:headEnd/>
                      <a:tailEnd/>
                    </a:ln>
                  </pic:spPr>
                </pic:pic>
              </a:graphicData>
            </a:graphic>
          </wp:inline>
        </w:drawing>
      </w:r>
      <w:bookmarkEnd w:id="0"/>
    </w:p>
    <w:p>
      <w:pPr>
        <w:ind w:firstLine="643"/>
        <w:jc w:val="both"/>
        <w:rPr>
          <w:rFonts w:ascii="Times New Roman" w:hAnsi="Times New Roman" w:eastAsia="楷体"/>
          <w:b/>
          <w:kern w:val="2"/>
          <w:sz w:val="32"/>
          <w:szCs w:val="32"/>
        </w:rPr>
      </w:pPr>
      <w:r>
        <w:rPr>
          <w:rFonts w:hint="eastAsia" w:ascii="楷体" w:hAnsi="楷体" w:eastAsia="楷体"/>
          <w:b/>
          <w:kern w:val="2"/>
          <w:sz w:val="32"/>
          <w:szCs w:val="32"/>
        </w:rPr>
        <w:t>（三）项目绩效评价结果。</w:t>
      </w:r>
    </w:p>
    <w:p>
      <w:pPr>
        <w:spacing w:before="100" w:beforeAutospacing="1" w:after="100" w:afterAutospacing="1" w:line="560" w:lineRule="atLeast"/>
        <w:ind w:firstLine="640"/>
        <w:jc w:val="both"/>
        <w:rPr>
          <w:rFonts w:hint="eastAsia"/>
          <w:sz w:val="32"/>
          <w:szCs w:val="32"/>
        </w:rPr>
      </w:pPr>
      <w:r>
        <w:rPr>
          <w:rFonts w:hint="eastAsia" w:cs="仿宋_GB2312"/>
          <w:kern w:val="2"/>
          <w:sz w:val="32"/>
          <w:szCs w:val="32"/>
        </w:rPr>
        <w:t>本单位未进行重点项目绩效评价。</w:t>
      </w:r>
    </w:p>
    <w:p>
      <w:pPr>
        <w:pStyle w:val="3"/>
        <w:keepNext/>
        <w:spacing w:line="360" w:lineRule="auto"/>
        <w:rPr>
          <w:rFonts w:hint="eastAsia" w:ascii="方正小标宋简体" w:hAnsi="方正小标宋简体"/>
        </w:rPr>
      </w:pPr>
    </w:p>
    <w:p>
      <w:pPr>
        <w:pStyle w:val="3"/>
        <w:keepNext/>
        <w:spacing w:line="360" w:lineRule="auto"/>
        <w:jc w:val="center"/>
      </w:pPr>
      <w:r>
        <w:rPr>
          <w:rFonts w:hint="eastAsia" w:ascii="方正小标宋简体" w:hAnsi="方正小标宋简体"/>
        </w:rPr>
        <w:t>第三部分</w:t>
      </w:r>
      <w:r>
        <w:rPr>
          <w:rFonts w:hint="eastAsia"/>
        </w:rPr>
        <w:t xml:space="preserve"> </w:t>
      </w:r>
      <w:r>
        <w:rPr>
          <w:rFonts w:ascii="方正小标宋简体" w:hAnsi="方正小标宋简体"/>
        </w:rPr>
        <w:t xml:space="preserve"> </w:t>
      </w:r>
      <w:r>
        <w:rPr>
          <w:rFonts w:hint="eastAsia" w:ascii="方正小标宋简体" w:hAnsi="方正小标宋简体"/>
        </w:rPr>
        <w:t>名词解释</w:t>
      </w:r>
    </w:p>
    <w:p>
      <w:pPr>
        <w:spacing w:before="100" w:beforeAutospacing="1" w:after="100" w:afterAutospacing="1" w:line="560" w:lineRule="atLeast"/>
        <w:ind w:firstLine="643"/>
        <w:jc w:val="both"/>
      </w:pPr>
      <w:r>
        <w:rPr>
          <w:rFonts w:hint="eastAsia"/>
          <w:b/>
          <w:bCs/>
          <w:sz w:val="32"/>
          <w:szCs w:val="32"/>
        </w:rPr>
        <w:t>一、财政拨款收入：</w:t>
      </w:r>
      <w:r>
        <w:rPr>
          <w:rFonts w:hint="eastAsia"/>
          <w:sz w:val="32"/>
          <w:szCs w:val="32"/>
        </w:rPr>
        <w:t>从同级财政部门取得的各类财政拨款，包括一般公共预算财政拨款、政府性基金预算财政拨款、国有资本经营预算财政拨款。</w:t>
      </w:r>
    </w:p>
    <w:p>
      <w:pPr>
        <w:spacing w:before="100" w:beforeAutospacing="1" w:after="100" w:afterAutospacing="1" w:line="560" w:lineRule="atLeast"/>
        <w:ind w:firstLine="643"/>
        <w:jc w:val="both"/>
      </w:pPr>
      <w:r>
        <w:rPr>
          <w:rFonts w:hint="eastAsia"/>
          <w:b/>
          <w:bCs/>
          <w:sz w:val="32"/>
          <w:szCs w:val="32"/>
        </w:rPr>
        <w:t>二、上级补助收入：</w:t>
      </w:r>
      <w:r>
        <w:rPr>
          <w:rFonts w:hint="eastAsia"/>
          <w:sz w:val="32"/>
          <w:szCs w:val="32"/>
        </w:rPr>
        <w:t>指事业单位从主管部门和上级单位取得的非财政补助收入。</w:t>
      </w:r>
    </w:p>
    <w:p>
      <w:pPr>
        <w:spacing w:before="100" w:beforeAutospacing="1" w:after="100" w:afterAutospacing="1" w:line="560" w:lineRule="atLeast"/>
        <w:ind w:firstLine="643"/>
        <w:jc w:val="both"/>
      </w:pPr>
      <w:r>
        <w:rPr>
          <w:rFonts w:hint="eastAsia"/>
          <w:b/>
          <w:bCs/>
          <w:sz w:val="32"/>
          <w:szCs w:val="32"/>
        </w:rPr>
        <w:t>三、财政专户管理教育收费：</w:t>
      </w:r>
      <w:r>
        <w:rPr>
          <w:rFonts w:hint="eastAsia"/>
          <w:sz w:val="32"/>
          <w:szCs w:val="32"/>
        </w:rPr>
        <w:t>指缴入财政专户、实行专项管理的高中以上学费、住宿费、高校委托培养费、函大、电大、夜大及短训班培训费等教育收费。</w:t>
      </w:r>
    </w:p>
    <w:p>
      <w:pPr>
        <w:spacing w:before="100" w:beforeAutospacing="1" w:after="100" w:afterAutospacing="1" w:line="560" w:lineRule="atLeast"/>
        <w:ind w:firstLine="643"/>
        <w:jc w:val="both"/>
      </w:pPr>
      <w:r>
        <w:rPr>
          <w:rFonts w:hint="eastAsia"/>
          <w:b/>
          <w:bCs/>
          <w:sz w:val="32"/>
          <w:szCs w:val="32"/>
        </w:rPr>
        <w:t>四、事业收入：</w:t>
      </w:r>
      <w:r>
        <w:rPr>
          <w:rFonts w:hint="eastAsia"/>
          <w:sz w:val="32"/>
          <w:szCs w:val="32"/>
        </w:rPr>
        <w:t>指事业单位开展专业业务活动及其辅助活动取得的收入。</w:t>
      </w:r>
    </w:p>
    <w:p>
      <w:pPr>
        <w:spacing w:before="100" w:beforeAutospacing="1" w:after="100" w:afterAutospacing="1" w:line="560" w:lineRule="atLeast"/>
        <w:ind w:firstLine="643"/>
        <w:jc w:val="both"/>
      </w:pPr>
      <w:r>
        <w:rPr>
          <w:rFonts w:hint="eastAsia"/>
          <w:b/>
          <w:bCs/>
          <w:sz w:val="32"/>
          <w:szCs w:val="32"/>
        </w:rPr>
        <w:t>五、经营收入：</w:t>
      </w:r>
      <w:r>
        <w:rPr>
          <w:rFonts w:hint="eastAsia"/>
          <w:sz w:val="32"/>
          <w:szCs w:val="32"/>
        </w:rPr>
        <w:t>指事业单位在专业业务活动及其辅助活动之外开展非独立核算经营活动取得的收入。</w:t>
      </w:r>
    </w:p>
    <w:p>
      <w:pPr>
        <w:spacing w:before="100" w:beforeAutospacing="1" w:after="100" w:afterAutospacing="1" w:line="560" w:lineRule="atLeast"/>
        <w:ind w:firstLine="643"/>
        <w:jc w:val="both"/>
      </w:pPr>
      <w:r>
        <w:rPr>
          <w:rFonts w:hint="eastAsia"/>
          <w:b/>
          <w:bCs/>
          <w:sz w:val="32"/>
          <w:szCs w:val="32"/>
        </w:rPr>
        <w:t>六、附属单位上缴收入：</w:t>
      </w:r>
      <w:r>
        <w:rPr>
          <w:rFonts w:hint="eastAsia"/>
          <w:sz w:val="32"/>
          <w:szCs w:val="32"/>
        </w:rPr>
        <w:t>指事业单位附属独立核算单位按照有关规定上缴的收入。</w:t>
      </w:r>
    </w:p>
    <w:p>
      <w:pPr>
        <w:spacing w:before="100" w:beforeAutospacing="1" w:after="100" w:afterAutospacing="1" w:line="560" w:lineRule="atLeast"/>
        <w:ind w:firstLine="643"/>
        <w:jc w:val="both"/>
      </w:pPr>
      <w:r>
        <w:rPr>
          <w:rFonts w:hint="eastAsia"/>
          <w:b/>
          <w:bCs/>
          <w:sz w:val="32"/>
          <w:szCs w:val="32"/>
        </w:rPr>
        <w:t>七、其他收入：</w:t>
      </w:r>
      <w:r>
        <w:rPr>
          <w:rFonts w:hint="eastAsia"/>
          <w:sz w:val="32"/>
          <w:szCs w:val="32"/>
        </w:rPr>
        <w:t>取得的除上述</w:t>
      </w:r>
      <w:r>
        <w:rPr>
          <w:rFonts w:ascii="Times New Roman" w:hAnsi="Times New Roman" w:cs="Times New Roman"/>
          <w:sz w:val="32"/>
          <w:szCs w:val="32"/>
        </w:rPr>
        <w:t>“</w:t>
      </w:r>
      <w:r>
        <w:rPr>
          <w:rFonts w:hint="eastAsia"/>
          <w:sz w:val="32"/>
          <w:szCs w:val="32"/>
        </w:rPr>
        <w:t>财政拨款收入</w:t>
      </w:r>
      <w:r>
        <w:rPr>
          <w:rFonts w:ascii="Times New Roman" w:hAnsi="Times New Roman" w:cs="Times New Roman"/>
          <w:sz w:val="32"/>
          <w:szCs w:val="32"/>
        </w:rPr>
        <w:t>”</w:t>
      </w:r>
      <w:r>
        <w:rPr>
          <w:rFonts w:hint="eastAsia"/>
          <w:sz w:val="32"/>
          <w:szCs w:val="32"/>
        </w:rPr>
        <w:t>、</w:t>
      </w:r>
      <w:r>
        <w:rPr>
          <w:rFonts w:ascii="Times New Roman" w:hAnsi="Times New Roman" w:cs="Times New Roman"/>
          <w:sz w:val="32"/>
          <w:szCs w:val="32"/>
        </w:rPr>
        <w:t>“</w:t>
      </w:r>
      <w:r>
        <w:rPr>
          <w:rFonts w:hint="eastAsia"/>
          <w:sz w:val="32"/>
          <w:szCs w:val="32"/>
        </w:rPr>
        <w:t>上级补助收入</w:t>
      </w:r>
      <w:r>
        <w:rPr>
          <w:rFonts w:ascii="Times New Roman" w:hAnsi="Times New Roman" w:cs="Times New Roman"/>
          <w:sz w:val="32"/>
          <w:szCs w:val="32"/>
        </w:rPr>
        <w:t>”</w:t>
      </w:r>
      <w:r>
        <w:rPr>
          <w:rFonts w:hint="eastAsia"/>
          <w:sz w:val="32"/>
          <w:szCs w:val="32"/>
        </w:rPr>
        <w:t>、</w:t>
      </w:r>
      <w:r>
        <w:rPr>
          <w:rFonts w:ascii="Times New Roman" w:hAnsi="Times New Roman" w:cs="Times New Roman"/>
          <w:sz w:val="32"/>
          <w:szCs w:val="32"/>
        </w:rPr>
        <w:t>“</w:t>
      </w:r>
      <w:r>
        <w:rPr>
          <w:rFonts w:hint="eastAsia"/>
          <w:sz w:val="32"/>
          <w:szCs w:val="32"/>
        </w:rPr>
        <w:t>事业收入</w:t>
      </w:r>
      <w:r>
        <w:rPr>
          <w:rFonts w:ascii="Times New Roman" w:hAnsi="Times New Roman" w:cs="Times New Roman"/>
          <w:sz w:val="32"/>
          <w:szCs w:val="32"/>
        </w:rPr>
        <w:t>”</w:t>
      </w:r>
      <w:r>
        <w:rPr>
          <w:rFonts w:hint="eastAsia"/>
          <w:sz w:val="32"/>
          <w:szCs w:val="32"/>
        </w:rPr>
        <w:t>、</w:t>
      </w:r>
      <w:r>
        <w:rPr>
          <w:rFonts w:ascii="Times New Roman" w:hAnsi="Times New Roman" w:cs="Times New Roman"/>
          <w:sz w:val="32"/>
          <w:szCs w:val="32"/>
        </w:rPr>
        <w:t>“</w:t>
      </w:r>
      <w:r>
        <w:rPr>
          <w:rFonts w:hint="eastAsia"/>
          <w:sz w:val="32"/>
          <w:szCs w:val="32"/>
        </w:rPr>
        <w:t>经营收入</w:t>
      </w:r>
      <w:r>
        <w:rPr>
          <w:rFonts w:ascii="Times New Roman" w:hAnsi="Times New Roman" w:cs="Times New Roman"/>
          <w:sz w:val="32"/>
          <w:szCs w:val="32"/>
        </w:rPr>
        <w:t>”</w:t>
      </w:r>
      <w:r>
        <w:rPr>
          <w:rFonts w:hint="eastAsia"/>
          <w:sz w:val="32"/>
          <w:szCs w:val="32"/>
        </w:rPr>
        <w:t>、</w:t>
      </w:r>
      <w:r>
        <w:rPr>
          <w:rFonts w:ascii="Times New Roman" w:hAnsi="Times New Roman" w:cs="Times New Roman"/>
          <w:sz w:val="32"/>
          <w:szCs w:val="32"/>
        </w:rPr>
        <w:t>“</w:t>
      </w:r>
      <w:r>
        <w:rPr>
          <w:rFonts w:hint="eastAsia"/>
          <w:sz w:val="32"/>
          <w:szCs w:val="32"/>
        </w:rPr>
        <w:t>附属单位上缴收入</w:t>
      </w:r>
      <w:r>
        <w:rPr>
          <w:rFonts w:ascii="Times New Roman" w:hAnsi="Times New Roman" w:cs="Times New Roman"/>
          <w:sz w:val="32"/>
          <w:szCs w:val="32"/>
        </w:rPr>
        <w:t>”</w:t>
      </w:r>
      <w:r>
        <w:rPr>
          <w:rFonts w:hint="eastAsia"/>
          <w:sz w:val="32"/>
          <w:szCs w:val="32"/>
        </w:rPr>
        <w:t>等以外的各项收入。</w:t>
      </w:r>
    </w:p>
    <w:p>
      <w:pPr>
        <w:spacing w:before="100" w:beforeAutospacing="1" w:after="100" w:afterAutospacing="1" w:line="560" w:lineRule="atLeast"/>
        <w:ind w:firstLine="643"/>
        <w:jc w:val="both"/>
      </w:pPr>
      <w:r>
        <w:rPr>
          <w:rFonts w:hint="eastAsia"/>
          <w:b/>
          <w:bCs/>
          <w:sz w:val="32"/>
          <w:szCs w:val="32"/>
        </w:rPr>
        <w:t>八、使用非财政拨款结余：</w:t>
      </w:r>
      <w:r>
        <w:rPr>
          <w:rFonts w:hint="eastAsia"/>
          <w:sz w:val="32"/>
          <w:szCs w:val="32"/>
        </w:rPr>
        <w:t>指事业单位按照预算管理要求使用非财政拨款结余弥补当年收支差额的数额。</w:t>
      </w:r>
    </w:p>
    <w:p>
      <w:pPr>
        <w:spacing w:before="100" w:beforeAutospacing="1" w:after="100" w:afterAutospacing="1" w:line="560" w:lineRule="atLeast"/>
        <w:ind w:firstLine="643"/>
        <w:jc w:val="both"/>
      </w:pPr>
      <w:r>
        <w:rPr>
          <w:rFonts w:hint="eastAsia"/>
          <w:b/>
          <w:bCs/>
          <w:sz w:val="32"/>
          <w:szCs w:val="32"/>
        </w:rPr>
        <w:t>九、年初结转和结余：</w:t>
      </w:r>
      <w:r>
        <w:rPr>
          <w:rFonts w:hint="eastAsia"/>
          <w:sz w:val="32"/>
          <w:szCs w:val="32"/>
        </w:rPr>
        <w:t>指单位上年结转本年使用的基本支出结转、项目支出结转和结余、经营结余。</w:t>
      </w:r>
    </w:p>
    <w:p>
      <w:pPr>
        <w:spacing w:before="100" w:beforeAutospacing="1" w:after="100" w:afterAutospacing="1" w:line="560" w:lineRule="atLeast"/>
        <w:ind w:firstLine="643"/>
        <w:jc w:val="both"/>
      </w:pPr>
      <w:r>
        <w:rPr>
          <w:rFonts w:hint="eastAsia"/>
          <w:b/>
          <w:bCs/>
          <w:sz w:val="32"/>
          <w:szCs w:val="32"/>
        </w:rPr>
        <w:t>十、结余分配：</w:t>
      </w:r>
      <w:r>
        <w:rPr>
          <w:rFonts w:hint="eastAsia"/>
          <w:sz w:val="32"/>
          <w:szCs w:val="32"/>
        </w:rPr>
        <w:t>指事业单位按规定缴纳的所得税以及从非财政拨款结余中提取各类结余的情况。</w:t>
      </w:r>
    </w:p>
    <w:p>
      <w:pPr>
        <w:spacing w:before="100" w:beforeAutospacing="1" w:after="100" w:afterAutospacing="1" w:line="560" w:lineRule="atLeast"/>
        <w:ind w:firstLine="643"/>
        <w:jc w:val="both"/>
      </w:pPr>
      <w:r>
        <w:rPr>
          <w:rFonts w:hint="eastAsia"/>
          <w:b/>
          <w:bCs/>
          <w:sz w:val="32"/>
          <w:szCs w:val="32"/>
        </w:rPr>
        <w:t>十一、年末结转和结余资金：</w:t>
      </w:r>
      <w:r>
        <w:rPr>
          <w:rFonts w:hint="eastAsia"/>
          <w:sz w:val="32"/>
          <w:szCs w:val="32"/>
        </w:rPr>
        <w:t>指单位结转下年的基本支出结转、项目支出结转和结余、经营结余。</w:t>
      </w:r>
    </w:p>
    <w:p>
      <w:pPr>
        <w:spacing w:before="100" w:beforeAutospacing="1" w:after="100" w:afterAutospacing="1" w:line="560" w:lineRule="atLeast"/>
        <w:ind w:firstLine="643"/>
        <w:jc w:val="both"/>
      </w:pPr>
      <w:r>
        <w:rPr>
          <w:rFonts w:hint="eastAsia"/>
          <w:b/>
          <w:bCs/>
          <w:sz w:val="32"/>
          <w:szCs w:val="32"/>
        </w:rPr>
        <w:t>十二、基本支出：</w:t>
      </w:r>
      <w:r>
        <w:rPr>
          <w:rFonts w:hint="eastAsia"/>
          <w:sz w:val="32"/>
          <w:szCs w:val="32"/>
        </w:rPr>
        <w:t>指为保障机构正常运转、完成日常工作任务所发生的支出，包括人员经费和公用经费。</w:t>
      </w:r>
    </w:p>
    <w:p>
      <w:pPr>
        <w:spacing w:before="100" w:beforeAutospacing="1" w:after="100" w:afterAutospacing="1" w:line="560" w:lineRule="atLeast"/>
        <w:ind w:firstLine="643"/>
        <w:jc w:val="both"/>
      </w:pPr>
      <w:r>
        <w:rPr>
          <w:rFonts w:hint="eastAsia"/>
          <w:b/>
          <w:bCs/>
          <w:sz w:val="32"/>
          <w:szCs w:val="32"/>
        </w:rPr>
        <w:t>十三、项目支出：</w:t>
      </w:r>
      <w:r>
        <w:rPr>
          <w:rFonts w:hint="eastAsia"/>
          <w:sz w:val="32"/>
          <w:szCs w:val="32"/>
        </w:rPr>
        <w:t>指在为完成特定的工作任务和事业发展目标所发生的支出。</w:t>
      </w:r>
    </w:p>
    <w:p>
      <w:pPr>
        <w:spacing w:before="100" w:beforeAutospacing="1" w:after="100" w:afterAutospacing="1" w:line="560" w:lineRule="atLeast"/>
        <w:ind w:firstLine="643"/>
        <w:jc w:val="both"/>
      </w:pPr>
      <w:r>
        <w:rPr>
          <w:rFonts w:hint="eastAsia"/>
          <w:b/>
          <w:bCs/>
          <w:sz w:val="32"/>
          <w:szCs w:val="32"/>
        </w:rPr>
        <w:t>十四、上缴上级支出：</w:t>
      </w:r>
      <w:r>
        <w:rPr>
          <w:rFonts w:hint="eastAsia"/>
          <w:sz w:val="32"/>
          <w:szCs w:val="32"/>
        </w:rPr>
        <w:t>指事业单位按照财政部门和主管部门的规定上缴上级单位的支出。</w:t>
      </w:r>
    </w:p>
    <w:p>
      <w:pPr>
        <w:spacing w:before="100" w:beforeAutospacing="1" w:after="100" w:afterAutospacing="1" w:line="560" w:lineRule="atLeast"/>
        <w:ind w:firstLine="643"/>
        <w:jc w:val="both"/>
      </w:pPr>
      <w:r>
        <w:rPr>
          <w:rFonts w:hint="eastAsia"/>
          <w:b/>
          <w:bCs/>
          <w:sz w:val="32"/>
          <w:szCs w:val="32"/>
        </w:rPr>
        <w:t>十五、经营支出：</w:t>
      </w:r>
      <w:r>
        <w:rPr>
          <w:rFonts w:hint="eastAsia"/>
          <w:sz w:val="32"/>
          <w:szCs w:val="32"/>
        </w:rPr>
        <w:t>指事业单位在专业业务活动及其辅助活动之外开展非独立核算经营活动发生的支出。</w:t>
      </w:r>
    </w:p>
    <w:p>
      <w:pPr>
        <w:spacing w:before="100" w:beforeAutospacing="1" w:after="100" w:afterAutospacing="1" w:line="560" w:lineRule="atLeast"/>
        <w:ind w:firstLine="643"/>
        <w:jc w:val="both"/>
      </w:pPr>
      <w:r>
        <w:rPr>
          <w:rFonts w:hint="eastAsia"/>
          <w:b/>
          <w:bCs/>
          <w:sz w:val="32"/>
          <w:szCs w:val="32"/>
        </w:rPr>
        <w:t>十六、对附属单位补助支出：</w:t>
      </w:r>
      <w:r>
        <w:rPr>
          <w:rFonts w:hint="eastAsia"/>
          <w:sz w:val="32"/>
          <w:szCs w:val="32"/>
        </w:rPr>
        <w:t>指事业单位用财政拨款收入之外的收入对附属单位补助发生的支出。</w:t>
      </w:r>
    </w:p>
    <w:p>
      <w:pPr>
        <w:spacing w:before="100" w:beforeAutospacing="1" w:after="100" w:afterAutospacing="1" w:line="560" w:lineRule="atLeast"/>
        <w:ind w:firstLine="643"/>
        <w:jc w:val="both"/>
      </w:pPr>
      <w:r>
        <w:rPr>
          <w:rFonts w:hint="eastAsia"/>
          <w:b/>
          <w:bCs/>
          <w:sz w:val="32"/>
          <w:szCs w:val="32"/>
        </w:rPr>
        <w:t>十七、</w:t>
      </w:r>
      <w:r>
        <w:rPr>
          <w:rFonts w:ascii="Times New Roman" w:hAnsi="Times New Roman" w:cs="Times New Roman"/>
          <w:b/>
          <w:bCs/>
          <w:sz w:val="32"/>
          <w:szCs w:val="32"/>
        </w:rPr>
        <w:t>“</w:t>
      </w:r>
      <w:r>
        <w:rPr>
          <w:rFonts w:hint="eastAsia"/>
          <w:b/>
          <w:bCs/>
          <w:sz w:val="32"/>
          <w:szCs w:val="32"/>
        </w:rPr>
        <w:t>三公</w:t>
      </w:r>
      <w:r>
        <w:rPr>
          <w:rFonts w:ascii="Times New Roman" w:hAnsi="Times New Roman" w:cs="Times New Roman"/>
          <w:b/>
          <w:bCs/>
          <w:sz w:val="32"/>
          <w:szCs w:val="32"/>
        </w:rPr>
        <w:t>”</w:t>
      </w:r>
      <w:r>
        <w:rPr>
          <w:rFonts w:hint="eastAsia"/>
          <w:b/>
          <w:bCs/>
          <w:sz w:val="32"/>
          <w:szCs w:val="32"/>
        </w:rPr>
        <w:t>经费：</w:t>
      </w:r>
      <w:r>
        <w:rPr>
          <w:rFonts w:hint="eastAsia"/>
          <w:sz w:val="32"/>
          <w:szCs w:val="32"/>
        </w:rPr>
        <w:t>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spacing w:before="100" w:beforeAutospacing="1" w:after="100" w:afterAutospacing="1" w:line="560" w:lineRule="atLeast"/>
        <w:ind w:firstLine="643"/>
        <w:jc w:val="both"/>
      </w:pPr>
      <w:r>
        <w:rPr>
          <w:rFonts w:hint="eastAsia"/>
          <w:b/>
          <w:bCs/>
          <w:sz w:val="32"/>
          <w:szCs w:val="32"/>
        </w:rPr>
        <w:t>十八、机构运行经费：</w:t>
      </w:r>
      <w:r>
        <w:rPr>
          <w:rFonts w:hint="eastAsia"/>
          <w:sz w:val="32"/>
          <w:szCs w:val="32"/>
        </w:rPr>
        <w:t>指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r>
        <w:rPr>
          <w:rFonts w:ascii="Times New Roman" w:hAnsi="Times New Roman" w:cs="Times New Roman"/>
          <w:sz w:val="21"/>
          <w:szCs w:val="21"/>
        </w:rPr>
        <w:t xml:space="preserve"> </w:t>
      </w:r>
    </w:p>
    <w:p>
      <w:pPr>
        <w:pStyle w:val="3"/>
        <w:keepNext/>
        <w:spacing w:line="360" w:lineRule="auto"/>
        <w:jc w:val="center"/>
        <w:rPr>
          <w:rFonts w:hint="eastAsia" w:ascii="方正小标宋简体" w:hAnsi="方正小标宋简体"/>
        </w:rPr>
      </w:pPr>
      <w:r>
        <w:rPr>
          <w:rFonts w:hint="eastAsia" w:ascii="方正小标宋简体" w:hAnsi="方正小标宋简体"/>
        </w:rPr>
        <w:t>第四部分</w:t>
      </w:r>
      <w:r>
        <w:rPr>
          <w:rFonts w:ascii="方正小标宋简体" w:hAnsi="方正小标宋简体"/>
        </w:rPr>
        <w:t xml:space="preserve"> </w:t>
      </w:r>
      <w:r>
        <w:rPr>
          <w:rFonts w:hint="eastAsia" w:ascii="方正小标宋简体" w:hAnsi="方正小标宋简体"/>
        </w:rPr>
        <w:t>决算公开联系方式及信息反馈渠道</w:t>
      </w:r>
    </w:p>
    <w:p/>
    <w:p>
      <w:pPr>
        <w:spacing w:before="100" w:beforeAutospacing="1" w:after="100" w:afterAutospacing="1" w:line="600" w:lineRule="atLeast"/>
        <w:ind w:firstLine="640"/>
        <w:jc w:val="both"/>
      </w:pPr>
      <w:r>
        <w:rPr>
          <w:rFonts w:hint="eastAsia"/>
          <w:sz w:val="32"/>
          <w:szCs w:val="32"/>
        </w:rPr>
        <w:t>本单位决算公开信息反馈和联系方式：</w:t>
      </w:r>
    </w:p>
    <w:p>
      <w:pPr>
        <w:spacing w:before="100" w:beforeAutospacing="1" w:after="100" w:afterAutospacing="1"/>
      </w:pPr>
      <w:r>
        <w:rPr>
          <w:rFonts w:hint="eastAsia"/>
          <w:sz w:val="32"/>
          <w:szCs w:val="32"/>
        </w:rPr>
        <w:t>联系人：李栋         联系电话：0472-5901257</w:t>
      </w:r>
    </w:p>
    <w:p>
      <w:pPr>
        <w:spacing w:after="120"/>
        <w:ind w:left="420" w:firstLine="420"/>
        <w:jc w:val="both"/>
      </w:pPr>
      <w:r>
        <w:rPr>
          <w:rFonts w:ascii="Times New Roman" w:hAnsi="Times New Roman" w:cs="Times New Roman"/>
          <w:sz w:val="21"/>
          <w:szCs w:val="21"/>
        </w:rPr>
        <w:t xml:space="preserve"> </w:t>
      </w:r>
    </w:p>
    <w:p>
      <w:pPr>
        <w:pStyle w:val="3"/>
        <w:keepNext/>
        <w:spacing w:line="360" w:lineRule="auto"/>
        <w:jc w:val="center"/>
        <w:rPr>
          <w:rFonts w:hint="eastAsia" w:ascii="方正小标宋简体" w:hAnsi="方正小标宋简体"/>
        </w:rPr>
      </w:pPr>
      <w:r>
        <w:rPr>
          <w:rFonts w:hint="eastAsia" w:ascii="方正小标宋简体" w:hAnsi="方正小标宋简体"/>
        </w:rPr>
        <w:t>第五部分</w:t>
      </w:r>
      <w:r>
        <w:rPr>
          <w:rFonts w:ascii="方正小标宋简体" w:hAnsi="方正小标宋简体"/>
        </w:rPr>
        <w:t xml:space="preserve"> 2022</w:t>
      </w:r>
      <w:r>
        <w:rPr>
          <w:rFonts w:hint="eastAsia" w:ascii="方正小标宋简体" w:hAnsi="方正小标宋简体"/>
        </w:rPr>
        <w:t>年度单位决算表</w:t>
      </w:r>
    </w:p>
    <w:p>
      <w:r>
        <w:rPr>
          <w:rFonts w:hint="eastAsia"/>
        </w:rPr>
        <w:t>（</w:t>
      </w:r>
      <w:r>
        <w:rPr>
          <w:rFonts w:hint="eastAsia"/>
          <w:sz w:val="32"/>
          <w:szCs w:val="32"/>
        </w:rPr>
        <w:t>详见附件</w:t>
      </w:r>
      <w:r>
        <w:rPr>
          <w:rFonts w:hint="eastAsia"/>
        </w:rPr>
        <w:t>）</w:t>
      </w:r>
    </w:p>
    <w:sectPr>
      <w:pgSz w:w="11915"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CESI楷体-GB2312">
    <w:altName w:val="微软雅黑"/>
    <w:panose1 w:val="00000000000000000000"/>
    <w:charset w:val="86"/>
    <w:family w:val="auto"/>
    <w:pitch w:val="default"/>
    <w:sig w:usb0="00000000" w:usb1="00000000" w:usb2="00000012" w:usb3="00000000" w:csb0="0004000F" w:csb1="00000000"/>
  </w:font>
  <w:font w:name="CESI仿宋-GB2312">
    <w:altName w:val="微软雅黑"/>
    <w:panose1 w:val="00000000000000000000"/>
    <w:charset w:val="86"/>
    <w:family w:val="auto"/>
    <w:pitch w:val="default"/>
    <w:sig w:usb0="00000000" w:usb1="00000000" w:usb2="00000010" w:usb3="00000000" w:csb0="0004000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楷体简体">
    <w:altName w:val="宋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83A98"/>
    <w:multiLevelType w:val="singleLevel"/>
    <w:tmpl w:val="25083A98"/>
    <w:lvl w:ilvl="0" w:tentative="0">
      <w:start w:val="1"/>
      <w:numFmt w:val="decimal"/>
      <w:suff w:val="nothing"/>
      <w:lvlText w:val="%1．"/>
      <w:lvlJc w:val="left"/>
    </w:lvl>
  </w:abstractNum>
  <w:abstractNum w:abstractNumId="1">
    <w:nsid w:val="2908BE0E"/>
    <w:multiLevelType w:val="singleLevel"/>
    <w:tmpl w:val="2908BE0E"/>
    <w:lvl w:ilvl="0" w:tentative="0">
      <w:start w:val="1"/>
      <w:numFmt w:val="chineseCounting"/>
      <w:suff w:val="nothing"/>
      <w:lvlText w:val="（%1）"/>
      <w:lvlJc w:val="left"/>
      <w:rPr>
        <w:rFonts w:hint="eastAsia"/>
        <w:lang w:val="en-US"/>
      </w:rPr>
    </w:lvl>
  </w:abstractNum>
  <w:abstractNum w:abstractNumId="2">
    <w:nsid w:val="2FBE8749"/>
    <w:multiLevelType w:val="singleLevel"/>
    <w:tmpl w:val="2FBE8749"/>
    <w:lvl w:ilvl="0" w:tentative="0">
      <w:start w:val="1"/>
      <w:numFmt w:val="chineseCounting"/>
      <w:suff w:val="nothing"/>
      <w:lvlText w:val="（%1）"/>
      <w:lvlJc w:val="left"/>
      <w:pPr>
        <w:ind w:left="0" w:firstLine="420"/>
      </w:pPr>
      <w:rPr>
        <w:rFonts w:hint="eastAsia"/>
      </w:rPr>
    </w:lvl>
  </w:abstractNum>
  <w:abstractNum w:abstractNumId="3">
    <w:nsid w:val="31D73C08"/>
    <w:multiLevelType w:val="multilevel"/>
    <w:tmpl w:val="31D73C08"/>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VerticalSpacing w:val="156"/>
  <w:displayHorizontalDrawingGridEvery w:val="0"/>
  <w:displayVerticalDrawingGridEvery w:val="2"/>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ZWJkNTdjZjcxZWRkMGUxNmIzYWQxNzJjYzhkNjIifQ=="/>
  </w:docVars>
  <w:rsids>
    <w:rsidRoot w:val="00682896"/>
    <w:rsid w:val="000A33C5"/>
    <w:rsid w:val="00261746"/>
    <w:rsid w:val="002F6120"/>
    <w:rsid w:val="00344DBB"/>
    <w:rsid w:val="00385560"/>
    <w:rsid w:val="003B2325"/>
    <w:rsid w:val="003D3073"/>
    <w:rsid w:val="005231B8"/>
    <w:rsid w:val="00581E2A"/>
    <w:rsid w:val="0067328F"/>
    <w:rsid w:val="00682896"/>
    <w:rsid w:val="00684303"/>
    <w:rsid w:val="006C67C8"/>
    <w:rsid w:val="006D1B9F"/>
    <w:rsid w:val="00715A4A"/>
    <w:rsid w:val="007E507B"/>
    <w:rsid w:val="008B658A"/>
    <w:rsid w:val="00953518"/>
    <w:rsid w:val="00A83115"/>
    <w:rsid w:val="00AC08FF"/>
    <w:rsid w:val="00B03F28"/>
    <w:rsid w:val="00D34A5D"/>
    <w:rsid w:val="00D42C01"/>
    <w:rsid w:val="00D556D2"/>
    <w:rsid w:val="00EC5CA7"/>
    <w:rsid w:val="36E23B8B"/>
    <w:rsid w:val="60440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semiHidden="0" w:name="index 1"/>
    <w:lsdException w:uiPriority="99" w:semiHidden="0" w:name="index 2"/>
    <w:lsdException w:uiPriority="99" w:semiHidden="0" w:name="index 3"/>
    <w:lsdException w:uiPriority="99" w:semiHidden="0" w:name="index 4"/>
    <w:lsdException w:uiPriority="99" w:semiHidden="0" w:name="index 5"/>
    <w:lsdException w:uiPriority="99" w:semiHidden="0" w:name="index 6"/>
    <w:lsdException w:uiPriority="99" w:semiHidden="0" w:name="index 7"/>
    <w:lsdException w:uiPriority="99" w:semiHidden="0" w:name="index 8"/>
    <w:lsdException w:uiPriority="99"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semiHidden="0" w:name="Normal Indent"/>
    <w:lsdException w:uiPriority="99" w:semiHidden="0" w:name="footnote text"/>
    <w:lsdException w:uiPriority="99" w:semiHidden="0" w:name="annotation text"/>
    <w:lsdException w:uiPriority="99" w:name="header"/>
    <w:lsdException w:uiPriority="99" w:name="footer"/>
    <w:lsdException w:uiPriority="99" w:semiHidden="0" w:name="index heading"/>
    <w:lsdException w:qFormat="1" w:uiPriority="35" w:name="caption"/>
    <w:lsdException w:uiPriority="99" w:semiHidden="0" w:name="table of figures"/>
    <w:lsdException w:uiPriority="99" w:semiHidden="0" w:name="envelope address"/>
    <w:lsdException w:uiPriority="99" w:semiHidden="0" w:name="envelope return"/>
    <w:lsdException w:uiPriority="99" w:semiHidden="0" w:name="footnote reference"/>
    <w:lsdException w:uiPriority="99" w:semiHidden="0" w:name="annotation reference"/>
    <w:lsdException w:uiPriority="99" w:semiHidden="0" w:name="line number"/>
    <w:lsdException w:uiPriority="99" w:semiHidden="0" w:name="page number"/>
    <w:lsdException w:uiPriority="99" w:semiHidden="0" w:name="endnote reference"/>
    <w:lsdException w:uiPriority="99" w:semiHidden="0" w:name="endnote text"/>
    <w:lsdException w:uiPriority="99" w:semiHidden="0" w:name="table of authorities"/>
    <w:lsdException w:uiPriority="99" w:semiHidden="0" w:name="macro"/>
    <w:lsdException w:uiPriority="99" w:semiHidden="0"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semiHidden="0" w:name="List 4"/>
    <w:lsdException w:uiPriority="99" w:semiHidden="0" w:name="List 5"/>
    <w:lsdException w:uiPriority="99" w:semiHidden="0" w:name="List Bullet 2"/>
    <w:lsdException w:uiPriority="99" w:semiHidden="0" w:name="List Bullet 3"/>
    <w:lsdException w:uiPriority="99" w:semiHidden="0" w:name="List Bullet 4"/>
    <w:lsdException w:uiPriority="99" w:semiHidden="0" w:name="List Bullet 5"/>
    <w:lsdException w:uiPriority="99" w:semiHidden="0" w:name="List Number 2"/>
    <w:lsdException w:uiPriority="99" w:semiHidden="0" w:name="List Number 3"/>
    <w:lsdException w:uiPriority="99" w:semiHidden="0" w:name="List Number 4"/>
    <w:lsdException w:uiPriority="99" w:semiHidden="0" w:name="List Number 5"/>
    <w:lsdException w:qFormat="1" w:unhideWhenUsed="0" w:uiPriority="10" w:semiHidden="0" w:name="Title"/>
    <w:lsdException w:uiPriority="99" w:semiHidden="0" w:name="Closing"/>
    <w:lsdException w:uiPriority="99" w:semiHidden="0"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semiHidden="0" w:name="List Continue 4"/>
    <w:lsdException w:uiPriority="99" w:semiHidden="0" w:name="List Continue 5"/>
    <w:lsdException w:uiPriority="99" w:semiHidden="0" w:name="Message Header"/>
    <w:lsdException w:qFormat="1" w:unhideWhenUsed="0" w:uiPriority="11" w:semiHidden="0" w:name="Subtitle"/>
    <w:lsdException w:uiPriority="99" w:semiHidden="0" w:name="Salutation"/>
    <w:lsdException w:uiPriority="99" w:semiHidden="0" w:name="Date"/>
    <w:lsdException w:uiPriority="99" w:semiHidden="0" w:name="Body Text First Indent"/>
    <w:lsdException w:qFormat="1" w:unhideWhenUsed="0" w:uiPriority="99" w:name="Body Text First Indent 2"/>
    <w:lsdException w:uiPriority="99" w:semiHidden="0" w:name="Note Heading"/>
    <w:lsdException w:uiPriority="99" w:semiHidden="0" w:name="Body Text 2"/>
    <w:lsdException w:uiPriority="99" w:semiHidden="0" w:name="Body Text 3"/>
    <w:lsdException w:uiPriority="99" w:semiHidden="0" w:name="Body Text Indent 2"/>
    <w:lsdException w:uiPriority="99" w:semiHidden="0" w:name="Body Text Indent 3"/>
    <w:lsdException w:uiPriority="99" w:semiHidden="0"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semiHidden="0" w:name="Document Map"/>
    <w:lsdException w:uiPriority="99" w:semiHidden="0" w:name="Plain Text"/>
    <w:lsdException w:uiPriority="99" w:semiHidden="0" w:name="E-mail Signature"/>
    <w:lsdException w:uiPriority="99" w:name="Normal (Web)"/>
    <w:lsdException w:uiPriority="99" w:semiHidden="0" w:name="HTML Acronym"/>
    <w:lsdException w:uiPriority="99" w:semiHidden="0" w:name="HTML Address"/>
    <w:lsdException w:uiPriority="99" w:semiHidden="0" w:name="HTML Cite"/>
    <w:lsdException w:uiPriority="99" w:semiHidden="0" w:name="HTML Code"/>
    <w:lsdException w:uiPriority="99" w:semiHidden="0" w:name="HTML Definition"/>
    <w:lsdException w:uiPriority="99" w:semiHidden="0" w:name="HTML Keyboard"/>
    <w:lsdException w:qFormat="1" w:uiPriority="99" w:name="HTML Preformatted"/>
    <w:lsdException w:uiPriority="99" w:semiHidden="0" w:name="HTML Sample"/>
    <w:lsdException w:uiPriority="99" w:semiHidden="0" w:name="HTML Typewriter"/>
    <w:lsdException w:uiPriority="99" w:semiHidden="0" w:name="HTML Variable"/>
    <w:lsdException w:qFormat="1" w:uiPriority="99" w:name="Normal Table"/>
    <w:lsdException w:uiPriority="99" w:semiHidden="0" w:name="annotation subject"/>
    <w:lsdException w:uiPriority="99" w:semiHidden="0" w:name="Table Simple 1"/>
    <w:lsdException w:uiPriority="99" w:semiHidden="0" w:name="Table Simple 2"/>
    <w:lsdException w:uiPriority="99" w:semiHidden="0" w:name="Table Simple 3"/>
    <w:lsdException w:uiPriority="99" w:semiHidden="0" w:name="Table Classic 1"/>
    <w:lsdException w:uiPriority="99" w:semiHidden="0" w:name="Table Classic 2"/>
    <w:lsdException w:uiPriority="99" w:semiHidden="0" w:name="Table Classic 3"/>
    <w:lsdException w:uiPriority="99" w:semiHidden="0" w:name="Table Classic 4"/>
    <w:lsdException w:uiPriority="99" w:semiHidden="0" w:name="Table Colorful 1"/>
    <w:lsdException w:uiPriority="99" w:semiHidden="0" w:name="Table Colorful 2"/>
    <w:lsdException w:uiPriority="99" w:semiHidden="0" w:name="Table Colorful 3"/>
    <w:lsdException w:uiPriority="99" w:semiHidden="0" w:name="Table Columns 1"/>
    <w:lsdException w:uiPriority="99" w:semiHidden="0" w:name="Table Columns 2"/>
    <w:lsdException w:uiPriority="99" w:semiHidden="0" w:name="Table Columns 3"/>
    <w:lsdException w:uiPriority="99" w:semiHidden="0" w:name="Table Columns 4"/>
    <w:lsdException w:uiPriority="99" w:semiHidden="0" w:name="Table Columns 5"/>
    <w:lsdException w:uiPriority="99" w:semiHidden="0" w:name="Table Grid 1"/>
    <w:lsdException w:uiPriority="99" w:semiHidden="0" w:name="Table Grid 2"/>
    <w:lsdException w:uiPriority="99" w:semiHidden="0" w:name="Table Grid 3"/>
    <w:lsdException w:uiPriority="99" w:semiHidden="0" w:name="Table Grid 4"/>
    <w:lsdException w:uiPriority="99" w:semiHidden="0" w:name="Table Grid 5"/>
    <w:lsdException w:uiPriority="99" w:semiHidden="0" w:name="Table Grid 6"/>
    <w:lsdException w:uiPriority="99" w:semiHidden="0" w:name="Table Grid 7"/>
    <w:lsdException w:uiPriority="99" w:semiHidden="0" w:name="Table Grid 8"/>
    <w:lsdException w:uiPriority="99" w:semiHidden="0" w:name="Table List 1"/>
    <w:lsdException w:uiPriority="99" w:semiHidden="0" w:name="Table List 2"/>
    <w:lsdException w:uiPriority="99" w:semiHidden="0" w:name="Table List 3"/>
    <w:lsdException w:uiPriority="99" w:semiHidden="0" w:name="Table List 4"/>
    <w:lsdException w:uiPriority="99" w:semiHidden="0" w:name="Table List 5"/>
    <w:lsdException w:uiPriority="99" w:semiHidden="0" w:name="Table List 6"/>
    <w:lsdException w:uiPriority="99" w:semiHidden="0" w:name="Table List 7"/>
    <w:lsdException w:uiPriority="99" w:semiHidden="0" w:name="Table List 8"/>
    <w:lsdException w:uiPriority="99" w:semiHidden="0" w:name="Table 3D effects 1"/>
    <w:lsdException w:uiPriority="99" w:semiHidden="0" w:name="Table 3D effects 2"/>
    <w:lsdException w:uiPriority="99" w:semiHidden="0" w:name="Table 3D effects 3"/>
    <w:lsdException w:uiPriority="99" w:semiHidden="0" w:name="Table Contemporary"/>
    <w:lsdException w:uiPriority="99" w:semiHidden="0" w:name="Table Elegant"/>
    <w:lsdException w:uiPriority="99" w:semiHidden="0" w:name="Table Professional"/>
    <w:lsdException w:uiPriority="99" w:semiHidden="0" w:name="Table Subtle 1"/>
    <w:lsdException w:uiPriority="99" w:semiHidden="0" w:name="Table Subtle 2"/>
    <w:lsdException w:uiPriority="99" w:semiHidden="0" w:name="Table Web 1"/>
    <w:lsdException w:uiPriority="99" w:semiHidden="0" w:name="Table Web 2"/>
    <w:lsdException w:uiPriority="99" w:semiHidden="0" w:name="Table Web 3"/>
    <w:lsdException w:qFormat="1" w:uiPriority="99" w:semiHidden="0" w:name="Balloon Text"/>
    <w:lsdException w:qFormat="1" w:uiPriority="99" w:semiHidden="0" w:name="Table Grid"/>
    <w:lsdException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8"/>
    <w:qFormat/>
    <w:uiPriority w:val="9"/>
    <w:pPr>
      <w:spacing w:before="100" w:beforeAutospacing="1" w:after="100" w:afterAutospacing="1"/>
      <w:outlineLvl w:val="0"/>
    </w:pPr>
    <w:rPr>
      <w:b/>
      <w:bCs/>
      <w:kern w:val="44"/>
      <w:sz w:val="48"/>
      <w:szCs w:val="48"/>
    </w:rPr>
  </w:style>
  <w:style w:type="paragraph" w:styleId="3">
    <w:name w:val="heading 2"/>
    <w:basedOn w:val="1"/>
    <w:next w:val="1"/>
    <w:link w:val="19"/>
    <w:qFormat/>
    <w:uiPriority w:val="9"/>
    <w:pPr>
      <w:spacing w:before="100" w:beforeAutospacing="1" w:after="100" w:afterAutospacing="1"/>
      <w:outlineLvl w:val="1"/>
    </w:pPr>
    <w:rPr>
      <w:b/>
      <w:bCs/>
      <w:sz w:val="36"/>
      <w:szCs w:val="36"/>
    </w:rPr>
  </w:style>
  <w:style w:type="paragraph" w:styleId="4">
    <w:name w:val="heading 3"/>
    <w:basedOn w:val="1"/>
    <w:next w:val="1"/>
    <w:link w:val="20"/>
    <w:qFormat/>
    <w:uiPriority w:val="9"/>
    <w:pPr>
      <w:spacing w:before="100" w:beforeAutospacing="1" w:after="100" w:afterAutospacing="1"/>
      <w:outlineLvl w:val="2"/>
    </w:pPr>
    <w:rPr>
      <w:b/>
      <w:bCs/>
      <w:sz w:val="27"/>
      <w:szCs w:val="27"/>
    </w:rPr>
  </w:style>
  <w:style w:type="paragraph" w:styleId="5">
    <w:name w:val="heading 4"/>
    <w:basedOn w:val="1"/>
    <w:next w:val="1"/>
    <w:link w:val="21"/>
    <w:qFormat/>
    <w:uiPriority w:val="9"/>
    <w:pPr>
      <w:spacing w:before="100" w:beforeAutospacing="1" w:after="100" w:afterAutospacing="1"/>
      <w:outlineLvl w:val="3"/>
    </w:pPr>
    <w:rPr>
      <w:b/>
      <w:bCs/>
    </w:rPr>
  </w:style>
  <w:style w:type="paragraph" w:styleId="6">
    <w:name w:val="heading 5"/>
    <w:basedOn w:val="1"/>
    <w:next w:val="1"/>
    <w:link w:val="22"/>
    <w:qFormat/>
    <w:uiPriority w:val="9"/>
    <w:pPr>
      <w:spacing w:before="100" w:beforeAutospacing="1" w:after="100" w:afterAutospacing="1"/>
      <w:outlineLvl w:val="4"/>
    </w:pPr>
    <w:rPr>
      <w:b/>
      <w:bCs/>
      <w:sz w:val="20"/>
      <w:szCs w:val="20"/>
    </w:rPr>
  </w:style>
  <w:style w:type="paragraph" w:styleId="7">
    <w:name w:val="heading 6"/>
    <w:basedOn w:val="1"/>
    <w:next w:val="1"/>
    <w:link w:val="23"/>
    <w:qFormat/>
    <w:uiPriority w:val="9"/>
    <w:pPr>
      <w:spacing w:before="100" w:beforeAutospacing="1" w:after="100" w:afterAutospacing="1"/>
      <w:outlineLvl w:val="5"/>
    </w:pPr>
    <w:rPr>
      <w:b/>
      <w:bCs/>
      <w:sz w:val="15"/>
      <w:szCs w:val="15"/>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Body Text Indent"/>
    <w:basedOn w:val="1"/>
    <w:link w:val="27"/>
    <w:semiHidden/>
    <w:unhideWhenUsed/>
    <w:uiPriority w:val="99"/>
    <w:pPr>
      <w:spacing w:after="120"/>
      <w:ind w:left="420" w:leftChars="200"/>
    </w:pPr>
  </w:style>
  <w:style w:type="paragraph" w:styleId="9">
    <w:name w:val="Balloon Text"/>
    <w:basedOn w:val="1"/>
    <w:link w:val="39"/>
    <w:unhideWhenUsed/>
    <w:qFormat/>
    <w:uiPriority w:val="99"/>
    <w:rPr>
      <w:sz w:val="18"/>
      <w:szCs w:val="18"/>
    </w:rPr>
  </w:style>
  <w:style w:type="paragraph" w:styleId="10">
    <w:name w:val="footer"/>
    <w:basedOn w:val="1"/>
    <w:link w:val="26"/>
    <w:semiHidden/>
    <w:unhideWhenUsed/>
    <w:uiPriority w:val="99"/>
    <w:pPr>
      <w:snapToGrid w:val="0"/>
    </w:pPr>
    <w:rPr>
      <w:sz w:val="18"/>
      <w:szCs w:val="18"/>
    </w:rPr>
  </w:style>
  <w:style w:type="paragraph" w:styleId="11">
    <w:name w:val="header"/>
    <w:basedOn w:val="1"/>
    <w:link w:val="25"/>
    <w:semiHidden/>
    <w:unhideWhenUsed/>
    <w:uiPriority w:val="99"/>
    <w:pPr>
      <w:pBdr>
        <w:bottom w:val="single" w:color="auto" w:sz="6" w:space="1"/>
      </w:pBdr>
      <w:snapToGrid w:val="0"/>
      <w:jc w:val="center"/>
    </w:pPr>
    <w:rPr>
      <w:sz w:val="18"/>
      <w:szCs w:val="18"/>
    </w:rPr>
  </w:style>
  <w:style w:type="paragraph" w:styleId="12">
    <w:name w:val="HTML Preformatted"/>
    <w:basedOn w:val="1"/>
    <w:link w:val="24"/>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semiHidden/>
    <w:unhideWhenUsed/>
    <w:uiPriority w:val="99"/>
    <w:pPr>
      <w:spacing w:before="100" w:beforeAutospacing="1" w:after="100" w:afterAutospacing="1"/>
    </w:pPr>
  </w:style>
  <w:style w:type="paragraph" w:styleId="14">
    <w:name w:val="Body Text First Indent 2"/>
    <w:basedOn w:val="8"/>
    <w:link w:val="28"/>
    <w:semiHidden/>
    <w:qFormat/>
    <w:uiPriority w:val="99"/>
    <w:pPr>
      <w:ind w:firstLine="420"/>
    </w:p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标题 1 Char"/>
    <w:basedOn w:val="17"/>
    <w:link w:val="2"/>
    <w:qFormat/>
    <w:locked/>
    <w:uiPriority w:val="9"/>
    <w:rPr>
      <w:rFonts w:hint="eastAsia" w:ascii="宋体" w:hAnsi="宋体" w:eastAsia="宋体" w:cs="宋体"/>
      <w:b/>
      <w:bCs/>
      <w:kern w:val="44"/>
      <w:sz w:val="44"/>
      <w:szCs w:val="44"/>
    </w:rPr>
  </w:style>
  <w:style w:type="character" w:customStyle="1" w:styleId="19">
    <w:name w:val="标题 2 Char"/>
    <w:basedOn w:val="17"/>
    <w:link w:val="3"/>
    <w:qFormat/>
    <w:locked/>
    <w:uiPriority w:val="9"/>
    <w:rPr>
      <w:rFonts w:hint="default" w:asciiTheme="majorHAnsi" w:hAnsiTheme="majorHAnsi" w:eastAsiaTheme="majorEastAsia" w:cstheme="majorBidi"/>
      <w:b/>
      <w:bCs/>
      <w:sz w:val="32"/>
      <w:szCs w:val="32"/>
    </w:rPr>
  </w:style>
  <w:style w:type="character" w:customStyle="1" w:styleId="20">
    <w:name w:val="标题 3 Char"/>
    <w:basedOn w:val="17"/>
    <w:link w:val="4"/>
    <w:locked/>
    <w:uiPriority w:val="9"/>
    <w:rPr>
      <w:rFonts w:hint="eastAsia" w:ascii="宋体" w:hAnsi="宋体" w:eastAsia="宋体" w:cs="宋体"/>
      <w:b/>
      <w:bCs/>
      <w:sz w:val="32"/>
      <w:szCs w:val="32"/>
    </w:rPr>
  </w:style>
  <w:style w:type="character" w:customStyle="1" w:styleId="21">
    <w:name w:val="标题 4 Char"/>
    <w:basedOn w:val="17"/>
    <w:link w:val="5"/>
    <w:qFormat/>
    <w:locked/>
    <w:uiPriority w:val="9"/>
    <w:rPr>
      <w:rFonts w:hint="default" w:asciiTheme="majorHAnsi" w:hAnsiTheme="majorHAnsi" w:eastAsiaTheme="majorEastAsia" w:cstheme="majorBidi"/>
      <w:b/>
      <w:bCs/>
      <w:sz w:val="28"/>
      <w:szCs w:val="28"/>
    </w:rPr>
  </w:style>
  <w:style w:type="character" w:customStyle="1" w:styleId="22">
    <w:name w:val="标题 5 Char"/>
    <w:basedOn w:val="17"/>
    <w:link w:val="6"/>
    <w:qFormat/>
    <w:locked/>
    <w:uiPriority w:val="9"/>
    <w:rPr>
      <w:rFonts w:hint="eastAsia" w:ascii="宋体" w:hAnsi="宋体" w:eastAsia="宋体" w:cs="宋体"/>
      <w:b/>
      <w:bCs/>
      <w:sz w:val="28"/>
      <w:szCs w:val="28"/>
    </w:rPr>
  </w:style>
  <w:style w:type="character" w:customStyle="1" w:styleId="23">
    <w:name w:val="标题 6 Char"/>
    <w:basedOn w:val="17"/>
    <w:link w:val="7"/>
    <w:locked/>
    <w:uiPriority w:val="9"/>
    <w:rPr>
      <w:rFonts w:hint="default" w:asciiTheme="majorHAnsi" w:hAnsiTheme="majorHAnsi" w:eastAsiaTheme="majorEastAsia" w:cstheme="majorBidi"/>
      <w:b/>
      <w:bCs/>
      <w:sz w:val="24"/>
      <w:szCs w:val="24"/>
    </w:rPr>
  </w:style>
  <w:style w:type="character" w:customStyle="1" w:styleId="24">
    <w:name w:val="HTML 预设格式 Char"/>
    <w:basedOn w:val="17"/>
    <w:link w:val="12"/>
    <w:locked/>
    <w:uiPriority w:val="99"/>
    <w:rPr>
      <w:rFonts w:hint="default" w:ascii="Courier New" w:hAnsi="Courier New" w:eastAsia="宋体" w:cs="Courier New"/>
    </w:rPr>
  </w:style>
  <w:style w:type="character" w:customStyle="1" w:styleId="25">
    <w:name w:val="页眉 Char"/>
    <w:basedOn w:val="17"/>
    <w:link w:val="11"/>
    <w:qFormat/>
    <w:locked/>
    <w:uiPriority w:val="99"/>
    <w:rPr>
      <w:rFonts w:hint="eastAsia" w:ascii="宋体" w:hAnsi="宋体" w:eastAsia="宋体" w:cs="宋体"/>
      <w:sz w:val="18"/>
      <w:szCs w:val="18"/>
    </w:rPr>
  </w:style>
  <w:style w:type="character" w:customStyle="1" w:styleId="26">
    <w:name w:val="页脚 Char"/>
    <w:basedOn w:val="17"/>
    <w:link w:val="10"/>
    <w:qFormat/>
    <w:locked/>
    <w:uiPriority w:val="99"/>
    <w:rPr>
      <w:rFonts w:hint="eastAsia" w:ascii="宋体" w:hAnsi="宋体" w:eastAsia="宋体" w:cs="宋体"/>
      <w:sz w:val="18"/>
      <w:szCs w:val="18"/>
    </w:rPr>
  </w:style>
  <w:style w:type="character" w:customStyle="1" w:styleId="27">
    <w:name w:val="正文文本缩进 Char"/>
    <w:basedOn w:val="17"/>
    <w:link w:val="8"/>
    <w:locked/>
    <w:uiPriority w:val="99"/>
    <w:rPr>
      <w:rFonts w:hint="eastAsia" w:ascii="宋体" w:hAnsi="宋体" w:eastAsia="宋体" w:cs="宋体"/>
      <w:sz w:val="24"/>
      <w:szCs w:val="24"/>
    </w:rPr>
  </w:style>
  <w:style w:type="character" w:customStyle="1" w:styleId="28">
    <w:name w:val="正文首行缩进 2 Char"/>
    <w:basedOn w:val="27"/>
    <w:link w:val="14"/>
    <w:qFormat/>
    <w:locked/>
    <w:uiPriority w:val="99"/>
  </w:style>
  <w:style w:type="paragraph" w:styleId="29">
    <w:name w:val="List Paragraph"/>
    <w:basedOn w:val="1"/>
    <w:semiHidden/>
    <w:qFormat/>
    <w:uiPriority w:val="99"/>
    <w:pPr>
      <w:ind w:firstLine="420" w:firstLineChars="200"/>
    </w:pPr>
  </w:style>
  <w:style w:type="paragraph" w:customStyle="1" w:styleId="30">
    <w:name w:val="列出段落1"/>
    <w:basedOn w:val="1"/>
    <w:semiHidden/>
    <w:qFormat/>
    <w:uiPriority w:val="99"/>
    <w:pPr>
      <w:autoSpaceDE w:val="0"/>
      <w:autoSpaceDN w:val="0"/>
      <w:ind w:left="109" w:right="99" w:firstLine="641"/>
    </w:pPr>
    <w:rPr>
      <w:rFonts w:ascii="Arial Unicode MS" w:hAnsi="Arial Unicode MS" w:eastAsia="Arial Unicode MS" w:cs="Arial Unicode MS"/>
      <w:sz w:val="22"/>
      <w:szCs w:val="22"/>
    </w:rPr>
  </w:style>
  <w:style w:type="character" w:customStyle="1" w:styleId="31">
    <w:name w:val="10"/>
    <w:basedOn w:val="17"/>
    <w:qFormat/>
    <w:uiPriority w:val="0"/>
    <w:rPr>
      <w:rFonts w:hint="default" w:ascii="Times New Roman" w:hAnsi="Times New Roman" w:cs="Times New Roman"/>
    </w:rPr>
  </w:style>
  <w:style w:type="character" w:customStyle="1" w:styleId="32">
    <w:name w:val="15"/>
    <w:basedOn w:val="17"/>
    <w:qFormat/>
    <w:uiPriority w:val="0"/>
    <w:rPr>
      <w:rFonts w:hint="eastAsia" w:ascii="宋体" w:hAnsi="宋体" w:eastAsia="宋体"/>
      <w:sz w:val="24"/>
      <w:szCs w:val="24"/>
    </w:rPr>
  </w:style>
  <w:style w:type="character" w:customStyle="1" w:styleId="33">
    <w:name w:val="16"/>
    <w:basedOn w:val="17"/>
    <w:qFormat/>
    <w:uiPriority w:val="0"/>
    <w:rPr>
      <w:rFonts w:hint="eastAsia" w:ascii="宋体" w:hAnsi="宋体" w:eastAsia="宋体"/>
      <w:b/>
      <w:bCs/>
      <w:kern w:val="44"/>
      <w:sz w:val="44"/>
      <w:szCs w:val="44"/>
    </w:rPr>
  </w:style>
  <w:style w:type="character" w:customStyle="1" w:styleId="34">
    <w:name w:val="17"/>
    <w:basedOn w:val="17"/>
    <w:qFormat/>
    <w:uiPriority w:val="0"/>
    <w:rPr>
      <w:rFonts w:hint="eastAsia" w:ascii="宋体" w:hAnsi="宋体" w:eastAsia="宋体"/>
      <w:sz w:val="18"/>
      <w:szCs w:val="18"/>
    </w:rPr>
  </w:style>
  <w:style w:type="character" w:customStyle="1" w:styleId="35">
    <w:name w:val="18"/>
    <w:basedOn w:val="17"/>
    <w:qFormat/>
    <w:uiPriority w:val="0"/>
    <w:rPr>
      <w:rFonts w:hint="default" w:ascii="Cambria" w:hAnsi="Cambria" w:eastAsia="宋体" w:cs="Times New Roman"/>
      <w:b/>
      <w:bCs/>
      <w:sz w:val="32"/>
      <w:szCs w:val="32"/>
    </w:rPr>
  </w:style>
  <w:style w:type="character" w:customStyle="1" w:styleId="36">
    <w:name w:val="19"/>
    <w:basedOn w:val="17"/>
    <w:qFormat/>
    <w:uiPriority w:val="0"/>
    <w:rPr>
      <w:rFonts w:hint="eastAsia" w:ascii="宋体" w:hAnsi="宋体" w:eastAsia="宋体"/>
      <w:sz w:val="18"/>
      <w:szCs w:val="18"/>
    </w:rPr>
  </w:style>
  <w:style w:type="character" w:customStyle="1" w:styleId="37">
    <w:name w:val="20"/>
    <w:basedOn w:val="17"/>
    <w:qFormat/>
    <w:uiPriority w:val="0"/>
    <w:rPr>
      <w:rFonts w:hint="eastAsia" w:ascii="宋体" w:hAnsi="宋体" w:eastAsia="宋体"/>
      <w:sz w:val="24"/>
      <w:szCs w:val="24"/>
    </w:rPr>
  </w:style>
  <w:style w:type="paragraph" w:customStyle="1" w:styleId="38">
    <w:name w:val="样式1"/>
    <w:basedOn w:val="1"/>
    <w:next w:val="1"/>
    <w:qFormat/>
    <w:uiPriority w:val="0"/>
    <w:rPr>
      <w:rFonts w:hint="eastAsia" w:ascii="Calibri" w:hAnsi="Calibri" w:eastAsia="仿宋_GB2312" w:cs="Times New Roman"/>
      <w:sz w:val="32"/>
    </w:rPr>
  </w:style>
  <w:style w:type="character" w:customStyle="1" w:styleId="39">
    <w:name w:val="批注框文本 Char"/>
    <w:basedOn w:val="17"/>
    <w:link w:val="9"/>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70A9D-23A7-4526-905B-6AD0391E2069}">
  <ds:schemaRefs/>
</ds:datastoreItem>
</file>

<file path=docProps/app.xml><?xml version="1.0" encoding="utf-8"?>
<Properties xmlns="http://schemas.openxmlformats.org/officeDocument/2006/extended-properties" xmlns:vt="http://schemas.openxmlformats.org/officeDocument/2006/docPropsVTypes">
  <Template>Normal</Template>
  <Pages>50</Pages>
  <Words>16586</Words>
  <Characters>18850</Characters>
  <Lines>144</Lines>
  <Paragraphs>40</Paragraphs>
  <TotalTime>451</TotalTime>
  <ScaleCrop>false</ScaleCrop>
  <LinksUpToDate>false</LinksUpToDate>
  <CharactersWithSpaces>19294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2023-09-25T09:03:00Z</dcterms:created>
  <dc:creator>Lenovo</dc:creator>
  <cp:lastModifiedBy>卓一</cp:lastModifiedBy>
  <dcterms:modified xsi:type="dcterms:W3CDTF">2023-10-26T04:06:14Z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1F22F41E2F84487DA242EA1D2BB60E16_13</vt:lpwstr>
  </property>
</Properties>
</file>